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544A6" w14:textId="6A0D93CD" w:rsidR="00DF6179" w:rsidRDefault="00DF5E32">
      <w:pPr>
        <w:spacing w:after="60"/>
        <w:rPr>
          <w:rFonts w:eastAsia="Times New Roman"/>
          <w:b/>
        </w:rPr>
      </w:pPr>
      <w:r>
        <w:rPr>
          <w:noProof/>
        </w:rPr>
        <mc:AlternateContent>
          <mc:Choice Requires="wps">
            <w:drawing>
              <wp:anchor distT="0" distB="0" distL="114300" distR="114300" simplePos="0" relativeHeight="251672576" behindDoc="0" locked="0" layoutInCell="1" allowOverlap="1" wp14:anchorId="46402155" wp14:editId="20F45DB9">
                <wp:simplePos x="0" y="0"/>
                <wp:positionH relativeFrom="column">
                  <wp:posOffset>2438400</wp:posOffset>
                </wp:positionH>
                <wp:positionV relativeFrom="paragraph">
                  <wp:posOffset>2844376</wp:posOffset>
                </wp:positionV>
                <wp:extent cx="2057400" cy="846667"/>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2057400" cy="846667"/>
                        </a:xfrm>
                        <a:prstGeom prst="rect">
                          <a:avLst/>
                        </a:prstGeom>
                        <a:solidFill>
                          <a:srgbClr val="F9F6EA"/>
                        </a:solidFill>
                        <a:ln w="6350">
                          <a:noFill/>
                        </a:ln>
                      </wps:spPr>
                      <wps:txbx>
                        <w:txbxContent>
                          <w:p w14:paraId="1AA4C336" w14:textId="493059D7" w:rsidR="004915AB" w:rsidRPr="00DF5E32" w:rsidRDefault="004915AB">
                            <w:pPr>
                              <w:rPr>
                                <w:b/>
                                <w:bCs/>
                                <w:color w:val="323E4F" w:themeColor="text2" w:themeShade="BF"/>
                                <w:sz w:val="96"/>
                                <w:szCs w:val="96"/>
                              </w:rPr>
                            </w:pPr>
                            <w:r w:rsidRPr="00DF5E32">
                              <w:rPr>
                                <w:b/>
                                <w:bCs/>
                                <w:color w:val="323E4F" w:themeColor="text2" w:themeShade="BF"/>
                                <w:sz w:val="96"/>
                                <w:szCs w:val="9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92pt;margin-top:223.95pt;width:162pt;height:6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" fillcolor="#f9f6ea" stroked="f" strokeweight=".5pt">
                <v:textbox>
                  <w:txbxContent>
                    <w:p w14:paraId="1AA4C336" w14:textId="493059D7" w:rsidR="004915AB" w:rsidRPr="00DF5E32" w:rsidRDefault="004915AB">
                      <w:pPr>
                        <w:rPr>
                          <w:b/>
                          <w:bCs/>
                          <w:color w:val="323E4F" w:themeColor="text2" w:themeShade="BF"/>
                          <w:sz w:val="96"/>
                          <w:szCs w:val="96"/>
                        </w:rPr>
                      </w:pPr>
                      <w:r w:rsidRPr="00DF5E32">
                        <w:rPr>
                          <w:b/>
                          <w:bCs/>
                          <w:color w:val="323E4F" w:themeColor="text2" w:themeShade="BF"/>
                          <w:sz w:val="96"/>
                          <w:szCs w:val="96"/>
                        </w:rPr>
                        <w:t>2024</w:t>
                      </w:r>
                    </w:p>
                  </w:txbxContent>
                </v:textbox>
              </v:shape>
            </w:pict>
          </mc:Fallback>
        </mc:AlternateContent>
      </w:r>
      <w:r w:rsidR="001C4CA8">
        <w:rPr>
          <w:noProof/>
        </w:rPr>
        <w:drawing>
          <wp:inline distT="0" distB="0" distL="0" distR="0" wp14:anchorId="2617A0E0" wp14:editId="056B0DD1">
            <wp:extent cx="1200150" cy="1200150"/>
            <wp:effectExtent l="0" t="0" r="0" b="0"/>
            <wp:docPr id="75232264" name="Picture 1" descr="A picture containing circle, logo, emble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2264" name="Picture 1" descr="A picture containing circle, logo, emblem,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00C45131">
        <w:rPr>
          <w:noProof/>
        </w:rPr>
        <mc:AlternateContent>
          <mc:Choice Requires="wps">
            <w:drawing>
              <wp:anchor distT="0" distB="0" distL="114300" distR="114300" simplePos="0" relativeHeight="251667456" behindDoc="0" locked="0" layoutInCell="1" allowOverlap="1" wp14:anchorId="1EF9B33C" wp14:editId="3DE1B1AE">
                <wp:simplePos x="0" y="0"/>
                <wp:positionH relativeFrom="margin">
                  <wp:align>left</wp:align>
                </wp:positionH>
                <wp:positionV relativeFrom="paragraph">
                  <wp:posOffset>0</wp:posOffset>
                </wp:positionV>
                <wp:extent cx="1746885" cy="7566660"/>
                <wp:effectExtent l="0" t="0" r="24765" b="15240"/>
                <wp:wrapNone/>
                <wp:docPr id="2102068294" name="Rectangle 6"/>
                <wp:cNvGraphicFramePr/>
                <a:graphic xmlns:a="http://schemas.openxmlformats.org/drawingml/2006/main">
                  <a:graphicData uri="http://schemas.microsoft.com/office/word/2010/wordprocessingShape">
                    <wps:wsp>
                      <wps:cNvSpPr/>
                      <wps:spPr>
                        <a:xfrm>
                          <a:off x="0" y="0"/>
                          <a:ext cx="1746885" cy="7566660"/>
                        </a:xfrm>
                        <a:prstGeom prst="rect">
                          <a:avLst/>
                        </a:prstGeom>
                        <a:solidFill>
                          <a:srgbClr val="F2F2E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05276" w14:textId="5028C3C6" w:rsidR="004915AB" w:rsidRPr="00A64E27" w:rsidRDefault="004915AB" w:rsidP="00A64E27">
                            <w:pP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E27">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BASHKIA </w:t>
                            </w:r>
                            <w: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LIBRAZHD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0;margin-top:0;width:137.55pt;height:595.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" fillcolor="#f2f2ee" strokecolor="black [3213]" strokeweight="1pt">
                <v:textbox>
                  <w:txbxContent>
                    <w:p w14:paraId="46F05276" w14:textId="5028C3C6" w:rsidR="004915AB" w:rsidRPr="00A64E27" w:rsidRDefault="004915AB" w:rsidP="00A64E27">
                      <w:pP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E27">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BASHKIA </w:t>
                      </w:r>
                      <w: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LIBRAZHD</w:t>
                      </w:r>
                    </w:p>
                  </w:txbxContent>
                </v:textbox>
                <w10:wrap anchorx="margin"/>
              </v:rect>
            </w:pict>
          </mc:Fallback>
        </mc:AlternateContent>
      </w:r>
      <w:r w:rsidR="00D77ADA">
        <w:rPr>
          <w:noProof/>
        </w:rPr>
        <mc:AlternateContent>
          <mc:Choice Requires="wps">
            <w:drawing>
              <wp:inline distT="0" distB="0" distL="0" distR="0" wp14:anchorId="25EC1051" wp14:editId="6C3ABC07">
                <wp:extent cx="304800" cy="304800"/>
                <wp:effectExtent l="0" t="0" r="0" b="0"/>
                <wp:docPr id="2" name="AutoShape 2" descr="Skeda:Stema e Bashkisë Librazhd.svg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Skeda:Stema e Bashkisë Librazhd.svg - Wiki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OfUK+ACAADwBQAADgAAAAAAAAAAAAAAAAAuAgAA&#10;ZHJzL2Uyb0RvYy54bWxQSwECLQAUAAYACAAAACEATKDpLNgAAAADAQAADwAAAAAAAAAAAAAAAAA6&#10;BQAAZHJzL2Rvd25yZXYueG1sUEsFBgAAAAAEAAQA8wAAAD8GAAAAAA==&#10;" filled="f" stroked="f">
                <o:lock v:ext="edit" aspectratio="t"/>
                <w10:anchorlock/>
              </v:rect>
            </w:pict>
          </mc:Fallback>
        </mc:AlternateContent>
      </w:r>
      <w:r w:rsidR="00C45131">
        <w:rPr>
          <w:noProof/>
        </w:rPr>
        <w:drawing>
          <wp:anchor distT="0" distB="0" distL="114300" distR="114300" simplePos="0" relativeHeight="251659263" behindDoc="0" locked="0" layoutInCell="1" allowOverlap="1" wp14:anchorId="2776DEEA" wp14:editId="3A01503F">
            <wp:simplePos x="0" y="0"/>
            <wp:positionH relativeFrom="margin">
              <wp:align>right</wp:align>
            </wp:positionH>
            <wp:positionV relativeFrom="paragraph">
              <wp:posOffset>0</wp:posOffset>
            </wp:positionV>
            <wp:extent cx="5044440" cy="7566660"/>
            <wp:effectExtent l="0" t="0" r="0" b="2540"/>
            <wp:wrapSquare wrapText="bothSides"/>
            <wp:docPr id="1098651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51388" name="Picture 1098651388"/>
                    <pic:cNvPicPr/>
                  </pic:nvPicPr>
                  <pic:blipFill>
                    <a:blip r:embed="rId10">
                      <a:extLst>
                        <a:ext uri="{28A0092B-C50C-407E-A947-70E740481C1C}">
                          <a14:useLocalDpi xmlns:a14="http://schemas.microsoft.com/office/drawing/2010/main" val="0"/>
                        </a:ext>
                      </a:extLst>
                    </a:blip>
                    <a:stretch>
                      <a:fillRect/>
                    </a:stretch>
                  </pic:blipFill>
                  <pic:spPr>
                    <a:xfrm>
                      <a:off x="0" y="0"/>
                      <a:ext cx="5044440" cy="7566660"/>
                    </a:xfrm>
                    <a:prstGeom prst="rect">
                      <a:avLst/>
                    </a:prstGeom>
                  </pic:spPr>
                </pic:pic>
              </a:graphicData>
            </a:graphic>
            <wp14:sizeRelH relativeFrom="page">
              <wp14:pctWidth>0</wp14:pctWidth>
            </wp14:sizeRelH>
            <wp14:sizeRelV relativeFrom="page">
              <wp14:pctHeight>0</wp14:pctHeight>
            </wp14:sizeRelV>
          </wp:anchor>
        </w:drawing>
      </w:r>
    </w:p>
    <w:p w14:paraId="615174BE" w14:textId="62FF10CA" w:rsidR="00C45131" w:rsidRDefault="00C45131" w:rsidP="00C45131">
      <w:pPr>
        <w:spacing w:after="60"/>
      </w:pPr>
    </w:p>
    <w:p w14:paraId="361C899E" w14:textId="0CDCE98D" w:rsidR="00C45131" w:rsidRDefault="00BD74CF" w:rsidP="00C45131">
      <w:pPr>
        <w:spacing w:after="60"/>
        <w:rPr>
          <w:noProof/>
        </w:rPr>
      </w:pPr>
      <w:r>
        <w:rPr>
          <w:noProof/>
        </w:rPr>
        <w:drawing>
          <wp:inline distT="0" distB="0" distL="0" distR="0" wp14:anchorId="28F78C6F" wp14:editId="013B947C">
            <wp:extent cx="1247775" cy="2095500"/>
            <wp:effectExtent l="0" t="0" r="9525" b="0"/>
            <wp:docPr id="1084115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15166" name="Picture 1084115166"/>
                    <pic:cNvPicPr/>
                  </pic:nvPicPr>
                  <pic:blipFill>
                    <a:blip r:embed="rId11">
                      <a:extLst>
                        <a:ext uri="{28A0092B-C50C-407E-A947-70E740481C1C}">
                          <a14:useLocalDpi xmlns:a14="http://schemas.microsoft.com/office/drawing/2010/main" val="0"/>
                        </a:ext>
                      </a:extLst>
                    </a:blip>
                    <a:stretch>
                      <a:fillRect/>
                    </a:stretch>
                  </pic:blipFill>
                  <pic:spPr>
                    <a:xfrm>
                      <a:off x="0" y="0"/>
                      <a:ext cx="1247775" cy="2095500"/>
                    </a:xfrm>
                    <a:prstGeom prst="rect">
                      <a:avLst/>
                    </a:prstGeom>
                  </pic:spPr>
                </pic:pic>
              </a:graphicData>
            </a:graphic>
          </wp:inline>
        </w:drawing>
      </w:r>
    </w:p>
    <w:p w14:paraId="26CF3EE5" w14:textId="47824130" w:rsidR="00C45131" w:rsidRDefault="00C45131" w:rsidP="00C45131">
      <w:pPr>
        <w:spacing w:after="60"/>
      </w:pPr>
    </w:p>
    <w:p w14:paraId="36249C2F" w14:textId="7DF51AB5" w:rsidR="00C45131" w:rsidRDefault="00C45131" w:rsidP="00C45131">
      <w:pPr>
        <w:spacing w:after="60"/>
      </w:pPr>
    </w:p>
    <w:p w14:paraId="52014021" w14:textId="0B08ACD4" w:rsidR="00C45131" w:rsidRDefault="00C45131" w:rsidP="00C45131">
      <w:pPr>
        <w:spacing w:after="60"/>
      </w:pPr>
    </w:p>
    <w:p w14:paraId="24EC4B16" w14:textId="0EC8B264" w:rsidR="00C45131" w:rsidRDefault="00C45131" w:rsidP="00C45131">
      <w:pPr>
        <w:spacing w:after="60"/>
      </w:pPr>
    </w:p>
    <w:p w14:paraId="36B6C75E" w14:textId="54C5DDE1" w:rsidR="00C45131" w:rsidRDefault="00C45131" w:rsidP="00C45131">
      <w:pPr>
        <w:spacing w:after="60"/>
      </w:pPr>
    </w:p>
    <w:p w14:paraId="537E0699" w14:textId="727692CF" w:rsidR="00C45131" w:rsidRDefault="00C45131" w:rsidP="00C45131">
      <w:pPr>
        <w:spacing w:after="60"/>
      </w:pPr>
    </w:p>
    <w:p w14:paraId="5A1AF57D" w14:textId="4C5412C5" w:rsidR="00C45131" w:rsidRDefault="00C45131" w:rsidP="00C45131">
      <w:pPr>
        <w:spacing w:after="60"/>
      </w:pPr>
    </w:p>
    <w:p w14:paraId="1A9B7A2D" w14:textId="26EF82F0" w:rsidR="00C45131" w:rsidRDefault="00C45131" w:rsidP="00C45131">
      <w:pPr>
        <w:spacing w:after="60"/>
      </w:pPr>
    </w:p>
    <w:p w14:paraId="0BDE9103" w14:textId="3EB9FCFA" w:rsidR="00C45131" w:rsidRDefault="00C45131" w:rsidP="00C45131">
      <w:pPr>
        <w:spacing w:after="60"/>
      </w:pPr>
    </w:p>
    <w:p w14:paraId="339C7BE2" w14:textId="3E1E2783" w:rsidR="00C45131" w:rsidRDefault="00C45131" w:rsidP="00C45131">
      <w:pPr>
        <w:spacing w:after="60"/>
      </w:pPr>
    </w:p>
    <w:p w14:paraId="3C71F80D" w14:textId="14FD3B59" w:rsidR="00C45131" w:rsidRDefault="00C45131" w:rsidP="00C45131">
      <w:pPr>
        <w:spacing w:after="60"/>
      </w:pPr>
    </w:p>
    <w:p w14:paraId="41980E6B" w14:textId="35F238BC" w:rsidR="00C45131" w:rsidRDefault="00C45131" w:rsidP="00C45131">
      <w:pPr>
        <w:spacing w:after="60"/>
      </w:pPr>
    </w:p>
    <w:p w14:paraId="72B1B25F" w14:textId="2B992F41" w:rsidR="00C45131" w:rsidRDefault="00C45131" w:rsidP="00C45131">
      <w:pPr>
        <w:spacing w:after="60"/>
      </w:pPr>
    </w:p>
    <w:p w14:paraId="0BAD0EB8" w14:textId="51BA7D40" w:rsidR="00C45131" w:rsidRDefault="00C45131" w:rsidP="00C45131">
      <w:pPr>
        <w:spacing w:after="60"/>
      </w:pPr>
    </w:p>
    <w:p w14:paraId="5129C06C" w14:textId="5FA37134" w:rsidR="00C45131" w:rsidRDefault="00C45131" w:rsidP="00C45131">
      <w:pPr>
        <w:spacing w:after="60"/>
      </w:pPr>
    </w:p>
    <w:p w14:paraId="7017F3EC" w14:textId="52E8E5FB" w:rsidR="00C45131" w:rsidRPr="004915AB" w:rsidRDefault="00D77ADA" w:rsidP="00C45131">
      <w:pPr>
        <w:spacing w:after="60"/>
        <w:rPr>
          <w:rFonts w:ascii="Times New Roman" w:hAnsi="Times New Roman" w:cs="Times New Roman"/>
        </w:rPr>
      </w:pPr>
      <w:r w:rsidRPr="00C45131">
        <w:rPr>
          <w:rFonts w:eastAsia="Times New Roman"/>
          <w:b/>
          <w:noProof/>
        </w:rPr>
        <mc:AlternateContent>
          <mc:Choice Requires="wps">
            <w:drawing>
              <wp:anchor distT="45720" distB="45720" distL="114300" distR="114300" simplePos="0" relativeHeight="251669504" behindDoc="0" locked="0" layoutInCell="1" allowOverlap="1" wp14:anchorId="3B34CB0F" wp14:editId="4DF30BF3">
                <wp:simplePos x="0" y="0"/>
                <wp:positionH relativeFrom="margin">
                  <wp:posOffset>577850</wp:posOffset>
                </wp:positionH>
                <wp:positionV relativeFrom="paragraph">
                  <wp:posOffset>-133350</wp:posOffset>
                </wp:positionV>
                <wp:extent cx="5325110" cy="1203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1203325"/>
                        </a:xfrm>
                        <a:prstGeom prst="rect">
                          <a:avLst/>
                        </a:prstGeom>
                        <a:noFill/>
                        <a:ln w="9525">
                          <a:noFill/>
                          <a:miter lim="800000"/>
                          <a:headEnd/>
                          <a:tailEnd/>
                        </a:ln>
                      </wps:spPr>
                      <wps:txbx>
                        <w:txbxContent>
                          <w:p w14:paraId="4C2C4F4B" w14:textId="77777777" w:rsidR="00D77ADA" w:rsidRDefault="00D77ADA" w:rsidP="00C45131">
                            <w:pPr>
                              <w:jc w:val="center"/>
                              <w:rPr>
                                <w:b/>
                                <w:bCs/>
                                <w:color w:val="222A35" w:themeColor="text2" w:themeShade="80"/>
                                <w:sz w:val="56"/>
                                <w:szCs w:val="56"/>
                              </w:rPr>
                            </w:pPr>
                            <w:r>
                              <w:rPr>
                                <w:b/>
                                <w:bCs/>
                                <w:color w:val="222A35" w:themeColor="text2" w:themeShade="80"/>
                                <w:sz w:val="56"/>
                                <w:szCs w:val="56"/>
                              </w:rPr>
                              <w:t xml:space="preserve">  </w:t>
                            </w:r>
                          </w:p>
                          <w:p w14:paraId="7AE1D079" w14:textId="77777777" w:rsidR="00D77ADA" w:rsidRDefault="00D77ADA" w:rsidP="00C45131">
                            <w:pPr>
                              <w:jc w:val="center"/>
                              <w:rPr>
                                <w:b/>
                                <w:bCs/>
                                <w:color w:val="222A35" w:themeColor="text2" w:themeShade="80"/>
                                <w:sz w:val="56"/>
                                <w:szCs w:val="56"/>
                              </w:rPr>
                            </w:pPr>
                          </w:p>
                          <w:p w14:paraId="4407B05C" w14:textId="77777777" w:rsidR="00D77ADA" w:rsidRDefault="00D77ADA" w:rsidP="00C45131">
                            <w:pPr>
                              <w:jc w:val="center"/>
                              <w:rPr>
                                <w:b/>
                                <w:bCs/>
                                <w:color w:val="222A35" w:themeColor="text2" w:themeShade="80"/>
                                <w:sz w:val="56"/>
                                <w:szCs w:val="56"/>
                              </w:rPr>
                            </w:pPr>
                          </w:p>
                          <w:p w14:paraId="226BF475" w14:textId="5AEAC058" w:rsidR="004915AB" w:rsidRPr="00C45131" w:rsidRDefault="004915AB" w:rsidP="00C45131">
                            <w:pPr>
                              <w:jc w:val="center"/>
                              <w:rPr>
                                <w:b/>
                                <w:bCs/>
                                <w:color w:val="222A35" w:themeColor="text2" w:themeShade="80"/>
                                <w:sz w:val="72"/>
                                <w:szCs w:val="72"/>
                              </w:rPr>
                            </w:pPr>
                            <w:r w:rsidRPr="00C45131">
                              <w:rPr>
                                <w:b/>
                                <w:bCs/>
                                <w:color w:val="222A35" w:themeColor="text2" w:themeShade="80"/>
                                <w:sz w:val="56"/>
                                <w:szCs w:val="56"/>
                              </w:rPr>
                              <w:t>BASHKIA</w:t>
                            </w:r>
                            <w:r>
                              <w:rPr>
                                <w:b/>
                                <w:bCs/>
                                <w:color w:val="222A35" w:themeColor="text2" w:themeShade="80"/>
                                <w:sz w:val="56"/>
                                <w:szCs w:val="56"/>
                              </w:rPr>
                              <w:t xml:space="preserve"> LIBRAZHD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45.5pt;margin-top:-10.5pt;width:419.3pt;height:94.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" filled="f" stroked="f">
                <v:textbox>
                  <w:txbxContent>
                    <w:p w14:paraId="4C2C4F4B" w14:textId="77777777" w:rsidR="00D77ADA" w:rsidRDefault="00D77ADA" w:rsidP="00C45131">
                      <w:pPr>
                        <w:jc w:val="center"/>
                        <w:rPr>
                          <w:b/>
                          <w:bCs/>
                          <w:color w:val="222A35" w:themeColor="text2" w:themeShade="80"/>
                          <w:sz w:val="56"/>
                          <w:szCs w:val="56"/>
                        </w:rPr>
                      </w:pPr>
                      <w:r>
                        <w:rPr>
                          <w:b/>
                          <w:bCs/>
                          <w:color w:val="222A35" w:themeColor="text2" w:themeShade="80"/>
                          <w:sz w:val="56"/>
                          <w:szCs w:val="56"/>
                        </w:rPr>
                        <w:t xml:space="preserve">  </w:t>
                      </w:r>
                    </w:p>
                    <w:p w14:paraId="7AE1D079" w14:textId="77777777" w:rsidR="00D77ADA" w:rsidRDefault="00D77ADA" w:rsidP="00C45131">
                      <w:pPr>
                        <w:jc w:val="center"/>
                        <w:rPr>
                          <w:b/>
                          <w:bCs/>
                          <w:color w:val="222A35" w:themeColor="text2" w:themeShade="80"/>
                          <w:sz w:val="56"/>
                          <w:szCs w:val="56"/>
                        </w:rPr>
                      </w:pPr>
                    </w:p>
                    <w:p w14:paraId="4407B05C" w14:textId="77777777" w:rsidR="00D77ADA" w:rsidRDefault="00D77ADA" w:rsidP="00C45131">
                      <w:pPr>
                        <w:jc w:val="center"/>
                        <w:rPr>
                          <w:b/>
                          <w:bCs/>
                          <w:color w:val="222A35" w:themeColor="text2" w:themeShade="80"/>
                          <w:sz w:val="56"/>
                          <w:szCs w:val="56"/>
                        </w:rPr>
                      </w:pPr>
                    </w:p>
                    <w:p w14:paraId="226BF475" w14:textId="5AEAC058" w:rsidR="004915AB" w:rsidRPr="00C45131" w:rsidRDefault="004915AB" w:rsidP="00C45131">
                      <w:pPr>
                        <w:jc w:val="center"/>
                        <w:rPr>
                          <w:b/>
                          <w:bCs/>
                          <w:color w:val="222A35" w:themeColor="text2" w:themeShade="80"/>
                          <w:sz w:val="72"/>
                          <w:szCs w:val="72"/>
                        </w:rPr>
                      </w:pPr>
                      <w:r w:rsidRPr="00C45131">
                        <w:rPr>
                          <w:b/>
                          <w:bCs/>
                          <w:color w:val="222A35" w:themeColor="text2" w:themeShade="80"/>
                          <w:sz w:val="56"/>
                          <w:szCs w:val="56"/>
                        </w:rPr>
                        <w:t>BASHKIA</w:t>
                      </w:r>
                      <w:r>
                        <w:rPr>
                          <w:b/>
                          <w:bCs/>
                          <w:color w:val="222A35" w:themeColor="text2" w:themeShade="80"/>
                          <w:sz w:val="56"/>
                          <w:szCs w:val="56"/>
                        </w:rPr>
                        <w:t xml:space="preserve"> LIBRAZHD</w:t>
                      </w:r>
                    </w:p>
                  </w:txbxContent>
                </v:textbox>
                <w10:wrap type="square" anchorx="margin"/>
              </v:shape>
            </w:pict>
          </mc:Fallback>
        </mc:AlternateContent>
      </w:r>
    </w:p>
    <w:p w14:paraId="235E8FA2" w14:textId="2BB1CB69" w:rsidR="00C45131" w:rsidRDefault="00C45131" w:rsidP="00C45131">
      <w:pPr>
        <w:spacing w:after="60"/>
      </w:pPr>
    </w:p>
    <w:p w14:paraId="364BCC40" w14:textId="624DB696" w:rsidR="00D77ADA" w:rsidRDefault="00D77ADA" w:rsidP="00086459">
      <w:pPr>
        <w:jc w:val="both"/>
        <w:rPr>
          <w:rFonts w:ascii="Times New Roman" w:hAnsi="Times New Roman" w:cs="Times New Roman"/>
          <w:sz w:val="24"/>
          <w:szCs w:val="24"/>
        </w:rPr>
      </w:pPr>
      <w:bookmarkStart w:id="0" w:name="_Hlk72157304"/>
    </w:p>
    <w:p w14:paraId="14E7896C" w14:textId="77777777" w:rsidR="00D77ADA" w:rsidRDefault="00D77ADA" w:rsidP="00D77ADA">
      <w:pPr>
        <w:jc w:val="both"/>
        <w:rPr>
          <w:rFonts w:ascii="Times New Roman" w:hAnsi="Times New Roman" w:cs="Times New Roman"/>
          <w:sz w:val="24"/>
          <w:szCs w:val="24"/>
        </w:rPr>
      </w:pPr>
    </w:p>
    <w:p w14:paraId="54376CEB" w14:textId="02C02DFA" w:rsidR="00086459" w:rsidRDefault="00086459" w:rsidP="00D77ADA">
      <w:pPr>
        <w:rPr>
          <w:rFonts w:ascii="Times New Roman" w:hAnsi="Times New Roman" w:cs="Times New Roman"/>
          <w:sz w:val="24"/>
          <w:szCs w:val="24"/>
        </w:rPr>
      </w:pPr>
      <w:r>
        <w:rPr>
          <w:rFonts w:ascii="Times New Roman" w:hAnsi="Times New Roman" w:cs="Times New Roman"/>
          <w:sz w:val="24"/>
          <w:szCs w:val="24"/>
        </w:rPr>
        <w:t>Dokumenti bazohet në të dhënat e Sistemit të Matjes Së Performancës 2023-2024.Ky document është prodhuar nga Bashkia Librazhd me asistencën e Projektit Bashki të Forta.</w:t>
      </w:r>
    </w:p>
    <w:p w14:paraId="34CB3FD0" w14:textId="61FB9FEE" w:rsidR="004915AB" w:rsidRPr="004915AB" w:rsidRDefault="004915AB" w:rsidP="00D77ADA">
      <w:pPr>
        <w:rPr>
          <w:rFonts w:ascii="Times New Roman" w:hAnsi="Times New Roman" w:cs="Times New Roman"/>
          <w:sz w:val="24"/>
          <w:szCs w:val="24"/>
        </w:rPr>
        <w:sectPr w:rsidR="004915AB" w:rsidRPr="004915AB" w:rsidSect="00C45131">
          <w:pgSz w:w="12240" w:h="15840"/>
          <w:pgMar w:top="720" w:right="720" w:bottom="720" w:left="720" w:header="720" w:footer="720" w:gutter="0"/>
          <w:cols w:space="720"/>
          <w:docGrid w:linePitch="360"/>
        </w:sectPr>
      </w:pPr>
      <w:r w:rsidRPr="004915AB">
        <w:rPr>
          <w:rFonts w:ascii="Times New Roman" w:hAnsi="Times New Roman" w:cs="Times New Roman"/>
          <w:sz w:val="24"/>
          <w:szCs w:val="24"/>
        </w:rPr>
        <w:lastRenderedPageBreak/>
        <w:t xml:space="preserve">Ky raport </w:t>
      </w:r>
      <w:r>
        <w:rPr>
          <w:rFonts w:ascii="Times New Roman" w:hAnsi="Times New Roman" w:cs="Times New Roman"/>
          <w:sz w:val="24"/>
          <w:szCs w:val="24"/>
        </w:rPr>
        <w:t>ë</w:t>
      </w:r>
      <w:r w:rsidRPr="004915AB">
        <w:rPr>
          <w:rFonts w:ascii="Times New Roman" w:hAnsi="Times New Roman" w:cs="Times New Roman"/>
          <w:sz w:val="24"/>
          <w:szCs w:val="24"/>
        </w:rPr>
        <w:t>sht</w:t>
      </w:r>
      <w:r>
        <w:rPr>
          <w:rFonts w:ascii="Times New Roman" w:hAnsi="Times New Roman" w:cs="Times New Roman"/>
          <w:sz w:val="24"/>
          <w:szCs w:val="24"/>
        </w:rPr>
        <w:t>ë</w:t>
      </w:r>
      <w:r w:rsidRPr="004915AB">
        <w:rPr>
          <w:rFonts w:ascii="Times New Roman" w:hAnsi="Times New Roman" w:cs="Times New Roman"/>
          <w:sz w:val="24"/>
          <w:szCs w:val="24"/>
        </w:rPr>
        <w:t xml:space="preserve"> hartuar me mb</w:t>
      </w:r>
      <w:r>
        <w:rPr>
          <w:rFonts w:ascii="Times New Roman" w:hAnsi="Times New Roman" w:cs="Times New Roman"/>
          <w:sz w:val="24"/>
          <w:szCs w:val="24"/>
        </w:rPr>
        <w:t>ë</w:t>
      </w:r>
      <w:r w:rsidRPr="004915AB">
        <w:rPr>
          <w:rFonts w:ascii="Times New Roman" w:hAnsi="Times New Roman" w:cs="Times New Roman"/>
          <w:sz w:val="24"/>
          <w:szCs w:val="24"/>
        </w:rPr>
        <w:t>shtetjen e projektit Bashki t</w:t>
      </w:r>
      <w:r>
        <w:rPr>
          <w:rFonts w:ascii="Times New Roman" w:hAnsi="Times New Roman" w:cs="Times New Roman"/>
          <w:sz w:val="24"/>
          <w:szCs w:val="24"/>
        </w:rPr>
        <w:t>ë</w:t>
      </w:r>
      <w:r w:rsidRPr="004915AB">
        <w:rPr>
          <w:rFonts w:ascii="Times New Roman" w:hAnsi="Times New Roman" w:cs="Times New Roman"/>
          <w:sz w:val="24"/>
          <w:szCs w:val="24"/>
        </w:rPr>
        <w:t xml:space="preserve"> forta,projekt i Agjensis</w:t>
      </w:r>
      <w:r>
        <w:rPr>
          <w:rFonts w:ascii="Times New Roman" w:hAnsi="Times New Roman" w:cs="Times New Roman"/>
          <w:sz w:val="24"/>
          <w:szCs w:val="24"/>
        </w:rPr>
        <w:t>ë</w:t>
      </w:r>
      <w:r w:rsidRPr="004915AB">
        <w:rPr>
          <w:rFonts w:ascii="Times New Roman" w:hAnsi="Times New Roman" w:cs="Times New Roman"/>
          <w:sz w:val="24"/>
          <w:szCs w:val="24"/>
        </w:rPr>
        <w:t xml:space="preserve"> Zvicerane p</w:t>
      </w:r>
      <w:r>
        <w:rPr>
          <w:rFonts w:ascii="Times New Roman" w:hAnsi="Times New Roman" w:cs="Times New Roman"/>
          <w:sz w:val="24"/>
          <w:szCs w:val="24"/>
        </w:rPr>
        <w:t>ë</w:t>
      </w:r>
      <w:r w:rsidRPr="004915AB">
        <w:rPr>
          <w:rFonts w:ascii="Times New Roman" w:hAnsi="Times New Roman" w:cs="Times New Roman"/>
          <w:sz w:val="24"/>
          <w:szCs w:val="24"/>
        </w:rPr>
        <w:t>r Zhvillim dhe Bashk</w:t>
      </w:r>
      <w:r>
        <w:rPr>
          <w:rFonts w:ascii="Times New Roman" w:hAnsi="Times New Roman" w:cs="Times New Roman"/>
          <w:sz w:val="24"/>
          <w:szCs w:val="24"/>
        </w:rPr>
        <w:t>ë</w:t>
      </w:r>
      <w:r w:rsidRPr="004915AB">
        <w:rPr>
          <w:rFonts w:ascii="Times New Roman" w:hAnsi="Times New Roman" w:cs="Times New Roman"/>
          <w:sz w:val="24"/>
          <w:szCs w:val="24"/>
        </w:rPr>
        <w:t>punim (Ambasada e Zvicr</w:t>
      </w:r>
      <w:r>
        <w:rPr>
          <w:rFonts w:ascii="Times New Roman" w:hAnsi="Times New Roman" w:cs="Times New Roman"/>
          <w:sz w:val="24"/>
          <w:szCs w:val="24"/>
        </w:rPr>
        <w:t>ë</w:t>
      </w:r>
      <w:r w:rsidRPr="004915AB">
        <w:rPr>
          <w:rFonts w:ascii="Times New Roman" w:hAnsi="Times New Roman" w:cs="Times New Roman"/>
          <w:sz w:val="24"/>
          <w:szCs w:val="24"/>
        </w:rPr>
        <w:t>s n</w:t>
      </w:r>
      <w:r>
        <w:rPr>
          <w:rFonts w:ascii="Times New Roman" w:hAnsi="Times New Roman" w:cs="Times New Roman"/>
          <w:sz w:val="24"/>
          <w:szCs w:val="24"/>
        </w:rPr>
        <w:t>ë</w:t>
      </w:r>
      <w:r w:rsidRPr="004915AB">
        <w:rPr>
          <w:rFonts w:ascii="Times New Roman" w:hAnsi="Times New Roman" w:cs="Times New Roman"/>
          <w:sz w:val="24"/>
          <w:szCs w:val="24"/>
        </w:rPr>
        <w:t xml:space="preserve"> Shqip</w:t>
      </w:r>
      <w:r>
        <w:rPr>
          <w:rFonts w:ascii="Times New Roman" w:hAnsi="Times New Roman" w:cs="Times New Roman"/>
          <w:sz w:val="24"/>
          <w:szCs w:val="24"/>
        </w:rPr>
        <w:t>ë</w:t>
      </w:r>
      <w:r w:rsidRPr="004915AB">
        <w:rPr>
          <w:rFonts w:ascii="Times New Roman" w:hAnsi="Times New Roman" w:cs="Times New Roman"/>
          <w:sz w:val="24"/>
          <w:szCs w:val="24"/>
        </w:rPr>
        <w:t>ri</w:t>
      </w:r>
      <w:proofErr w:type="gramStart"/>
      <w:r w:rsidRPr="004915AB">
        <w:rPr>
          <w:rFonts w:ascii="Times New Roman" w:hAnsi="Times New Roman" w:cs="Times New Roman"/>
          <w:sz w:val="24"/>
          <w:szCs w:val="24"/>
        </w:rPr>
        <w:t>,Organizata</w:t>
      </w:r>
      <w:proofErr w:type="gramEnd"/>
      <w:r w:rsidRPr="004915AB">
        <w:rPr>
          <w:rFonts w:ascii="Times New Roman" w:hAnsi="Times New Roman" w:cs="Times New Roman"/>
          <w:sz w:val="24"/>
          <w:szCs w:val="24"/>
        </w:rPr>
        <w:t xml:space="preserve"> p</w:t>
      </w:r>
      <w:r>
        <w:rPr>
          <w:rFonts w:ascii="Times New Roman" w:hAnsi="Times New Roman" w:cs="Times New Roman"/>
          <w:sz w:val="24"/>
          <w:szCs w:val="24"/>
        </w:rPr>
        <w:t>ë</w:t>
      </w:r>
      <w:r w:rsidRPr="004915AB">
        <w:rPr>
          <w:rFonts w:ascii="Times New Roman" w:hAnsi="Times New Roman" w:cs="Times New Roman"/>
          <w:sz w:val="24"/>
          <w:szCs w:val="24"/>
        </w:rPr>
        <w:t>r Zhvillim dhe Bashk</w:t>
      </w:r>
      <w:r>
        <w:rPr>
          <w:rFonts w:ascii="Times New Roman" w:hAnsi="Times New Roman" w:cs="Times New Roman"/>
          <w:sz w:val="24"/>
          <w:szCs w:val="24"/>
        </w:rPr>
        <w:t>ë</w:t>
      </w:r>
      <w:r w:rsidRPr="004915AB">
        <w:rPr>
          <w:rFonts w:ascii="Times New Roman" w:hAnsi="Times New Roman" w:cs="Times New Roman"/>
          <w:sz w:val="24"/>
          <w:szCs w:val="24"/>
        </w:rPr>
        <w:t>punim e Zvicr</w:t>
      </w:r>
      <w:r>
        <w:rPr>
          <w:rFonts w:ascii="Times New Roman" w:hAnsi="Times New Roman" w:cs="Times New Roman"/>
          <w:sz w:val="24"/>
          <w:szCs w:val="24"/>
        </w:rPr>
        <w:t>ë</w:t>
      </w:r>
      <w:r w:rsidRPr="004915AB">
        <w:rPr>
          <w:rFonts w:ascii="Times New Roman" w:hAnsi="Times New Roman" w:cs="Times New Roman"/>
          <w:sz w:val="24"/>
          <w:szCs w:val="24"/>
        </w:rPr>
        <w:t>s)dhe Qeveris</w:t>
      </w:r>
      <w:r>
        <w:rPr>
          <w:rFonts w:ascii="Times New Roman" w:hAnsi="Times New Roman" w:cs="Times New Roman"/>
          <w:sz w:val="24"/>
          <w:szCs w:val="24"/>
        </w:rPr>
        <w:t>ë</w:t>
      </w:r>
      <w:r w:rsidRPr="004915AB">
        <w:rPr>
          <w:rFonts w:ascii="Times New Roman" w:hAnsi="Times New Roman" w:cs="Times New Roman"/>
          <w:sz w:val="24"/>
          <w:szCs w:val="24"/>
        </w:rPr>
        <w:t xml:space="preserve"> s</w:t>
      </w:r>
      <w:r>
        <w:rPr>
          <w:rFonts w:ascii="Times New Roman" w:hAnsi="Times New Roman" w:cs="Times New Roman"/>
          <w:sz w:val="24"/>
          <w:szCs w:val="24"/>
        </w:rPr>
        <w:t>ë</w:t>
      </w:r>
      <w:r w:rsidRPr="004915AB">
        <w:rPr>
          <w:rFonts w:ascii="Times New Roman" w:hAnsi="Times New Roman" w:cs="Times New Roman"/>
          <w:sz w:val="24"/>
          <w:szCs w:val="24"/>
        </w:rPr>
        <w:t xml:space="preserve"> Suedis</w:t>
      </w:r>
      <w:r>
        <w:rPr>
          <w:rFonts w:ascii="Times New Roman" w:hAnsi="Times New Roman" w:cs="Times New Roman"/>
          <w:sz w:val="24"/>
          <w:szCs w:val="24"/>
        </w:rPr>
        <w:t>ë</w:t>
      </w:r>
      <w:r w:rsidRPr="004915AB">
        <w:rPr>
          <w:rFonts w:ascii="Times New Roman" w:hAnsi="Times New Roman" w:cs="Times New Roman"/>
          <w:sz w:val="24"/>
          <w:szCs w:val="24"/>
        </w:rPr>
        <w:t xml:space="preserve"> (Ambasada e Suedis</w:t>
      </w:r>
      <w:r>
        <w:rPr>
          <w:rFonts w:ascii="Times New Roman" w:hAnsi="Times New Roman" w:cs="Times New Roman"/>
          <w:sz w:val="24"/>
          <w:szCs w:val="24"/>
        </w:rPr>
        <w:t>ë</w:t>
      </w:r>
      <w:r w:rsidRPr="004915AB">
        <w:rPr>
          <w:rFonts w:ascii="Times New Roman" w:hAnsi="Times New Roman" w:cs="Times New Roman"/>
          <w:sz w:val="24"/>
          <w:szCs w:val="24"/>
        </w:rPr>
        <w:t xml:space="preserve"> n</w:t>
      </w:r>
      <w:r>
        <w:rPr>
          <w:rFonts w:ascii="Times New Roman" w:hAnsi="Times New Roman" w:cs="Times New Roman"/>
          <w:sz w:val="24"/>
          <w:szCs w:val="24"/>
        </w:rPr>
        <w:t>ë</w:t>
      </w:r>
      <w:r w:rsidRPr="004915AB">
        <w:rPr>
          <w:rFonts w:ascii="Times New Roman" w:hAnsi="Times New Roman" w:cs="Times New Roman"/>
          <w:sz w:val="24"/>
          <w:szCs w:val="24"/>
        </w:rPr>
        <w:t xml:space="preserve"> Shqip</w:t>
      </w:r>
      <w:r>
        <w:rPr>
          <w:rFonts w:ascii="Times New Roman" w:hAnsi="Times New Roman" w:cs="Times New Roman"/>
          <w:sz w:val="24"/>
          <w:szCs w:val="24"/>
        </w:rPr>
        <w:t>ë</w:t>
      </w:r>
      <w:r w:rsidRPr="004915AB">
        <w:rPr>
          <w:rFonts w:ascii="Times New Roman" w:hAnsi="Times New Roman" w:cs="Times New Roman"/>
          <w:sz w:val="24"/>
          <w:szCs w:val="24"/>
        </w:rPr>
        <w:t>ri) I zbatuar nga Helvetas.Projekti ka si synim kryesor q</w:t>
      </w:r>
      <w:r>
        <w:rPr>
          <w:rFonts w:ascii="Times New Roman" w:hAnsi="Times New Roman" w:cs="Times New Roman"/>
          <w:sz w:val="24"/>
          <w:szCs w:val="24"/>
        </w:rPr>
        <w:t>ë</w:t>
      </w:r>
      <w:r w:rsidRPr="004915AB">
        <w:rPr>
          <w:rFonts w:ascii="Times New Roman" w:hAnsi="Times New Roman" w:cs="Times New Roman"/>
          <w:sz w:val="24"/>
          <w:szCs w:val="24"/>
        </w:rPr>
        <w:t xml:space="preserve"> qytetar</w:t>
      </w:r>
      <w:r>
        <w:rPr>
          <w:rFonts w:ascii="Times New Roman" w:hAnsi="Times New Roman" w:cs="Times New Roman"/>
          <w:sz w:val="24"/>
          <w:szCs w:val="24"/>
        </w:rPr>
        <w:t>ë</w:t>
      </w:r>
      <w:r w:rsidRPr="004915AB">
        <w:rPr>
          <w:rFonts w:ascii="Times New Roman" w:hAnsi="Times New Roman" w:cs="Times New Roman"/>
          <w:sz w:val="24"/>
          <w:szCs w:val="24"/>
        </w:rPr>
        <w:t>t shqiptar</w:t>
      </w:r>
      <w:r>
        <w:rPr>
          <w:rFonts w:ascii="Times New Roman" w:hAnsi="Times New Roman" w:cs="Times New Roman"/>
          <w:sz w:val="24"/>
          <w:szCs w:val="24"/>
        </w:rPr>
        <w:t>ë</w:t>
      </w:r>
      <w:r w:rsidRPr="004915AB">
        <w:rPr>
          <w:rFonts w:ascii="Times New Roman" w:hAnsi="Times New Roman" w:cs="Times New Roman"/>
          <w:sz w:val="24"/>
          <w:szCs w:val="24"/>
        </w:rPr>
        <w:t xml:space="preserve"> t</w:t>
      </w:r>
      <w:r>
        <w:rPr>
          <w:rFonts w:ascii="Times New Roman" w:hAnsi="Times New Roman" w:cs="Times New Roman"/>
          <w:sz w:val="24"/>
          <w:szCs w:val="24"/>
        </w:rPr>
        <w:t>ë</w:t>
      </w:r>
      <w:r w:rsidRPr="004915AB">
        <w:rPr>
          <w:rFonts w:ascii="Times New Roman" w:hAnsi="Times New Roman" w:cs="Times New Roman"/>
          <w:sz w:val="24"/>
          <w:szCs w:val="24"/>
        </w:rPr>
        <w:t xml:space="preserve"> p</w:t>
      </w:r>
      <w:r>
        <w:rPr>
          <w:rFonts w:ascii="Times New Roman" w:hAnsi="Times New Roman" w:cs="Times New Roman"/>
          <w:sz w:val="24"/>
          <w:szCs w:val="24"/>
        </w:rPr>
        <w:t>ë</w:t>
      </w:r>
      <w:r w:rsidRPr="004915AB">
        <w:rPr>
          <w:rFonts w:ascii="Times New Roman" w:hAnsi="Times New Roman" w:cs="Times New Roman"/>
          <w:sz w:val="24"/>
          <w:szCs w:val="24"/>
        </w:rPr>
        <w:t>rfitojn</w:t>
      </w:r>
      <w:r>
        <w:rPr>
          <w:rFonts w:ascii="Times New Roman" w:hAnsi="Times New Roman" w:cs="Times New Roman"/>
          <w:sz w:val="24"/>
          <w:szCs w:val="24"/>
        </w:rPr>
        <w:t>ë</w:t>
      </w:r>
      <w:r w:rsidRPr="004915AB">
        <w:rPr>
          <w:rFonts w:ascii="Times New Roman" w:hAnsi="Times New Roman" w:cs="Times New Roman"/>
          <w:sz w:val="24"/>
          <w:szCs w:val="24"/>
        </w:rPr>
        <w:t xml:space="preserve"> nga p</w:t>
      </w:r>
      <w:r>
        <w:rPr>
          <w:rFonts w:ascii="Times New Roman" w:hAnsi="Times New Roman" w:cs="Times New Roman"/>
          <w:sz w:val="24"/>
          <w:szCs w:val="24"/>
        </w:rPr>
        <w:t>ë</w:t>
      </w:r>
      <w:r w:rsidRPr="004915AB">
        <w:rPr>
          <w:rFonts w:ascii="Times New Roman" w:hAnsi="Times New Roman" w:cs="Times New Roman"/>
          <w:sz w:val="24"/>
          <w:szCs w:val="24"/>
        </w:rPr>
        <w:t>rmir</w:t>
      </w:r>
      <w:r>
        <w:rPr>
          <w:rFonts w:ascii="Times New Roman" w:hAnsi="Times New Roman" w:cs="Times New Roman"/>
          <w:sz w:val="24"/>
          <w:szCs w:val="24"/>
        </w:rPr>
        <w:t>ë</w:t>
      </w:r>
      <w:r w:rsidRPr="004915AB">
        <w:rPr>
          <w:rFonts w:ascii="Times New Roman" w:hAnsi="Times New Roman" w:cs="Times New Roman"/>
          <w:sz w:val="24"/>
          <w:szCs w:val="24"/>
        </w:rPr>
        <w:t>simi I qeverisjes dhe I sh</w:t>
      </w:r>
      <w:r>
        <w:rPr>
          <w:rFonts w:ascii="Times New Roman" w:hAnsi="Times New Roman" w:cs="Times New Roman"/>
          <w:sz w:val="24"/>
          <w:szCs w:val="24"/>
        </w:rPr>
        <w:t>ë</w:t>
      </w:r>
      <w:r w:rsidRPr="004915AB">
        <w:rPr>
          <w:rFonts w:ascii="Times New Roman" w:hAnsi="Times New Roman" w:cs="Times New Roman"/>
          <w:sz w:val="24"/>
          <w:szCs w:val="24"/>
        </w:rPr>
        <w:t>rbimeve n</w:t>
      </w:r>
      <w:r>
        <w:rPr>
          <w:rFonts w:ascii="Times New Roman" w:hAnsi="Times New Roman" w:cs="Times New Roman"/>
          <w:sz w:val="24"/>
          <w:szCs w:val="24"/>
        </w:rPr>
        <w:t>ë</w:t>
      </w:r>
      <w:r w:rsidRPr="004915AB">
        <w:rPr>
          <w:rFonts w:ascii="Times New Roman" w:hAnsi="Times New Roman" w:cs="Times New Roman"/>
          <w:sz w:val="24"/>
          <w:szCs w:val="24"/>
        </w:rPr>
        <w:t xml:space="preserve"> nivel ve</w:t>
      </w:r>
      <w:r w:rsidR="00D77ADA">
        <w:rPr>
          <w:rFonts w:ascii="Times New Roman" w:hAnsi="Times New Roman" w:cs="Times New Roman"/>
          <w:sz w:val="24"/>
          <w:szCs w:val="24"/>
        </w:rPr>
        <w:t xml:space="preserve">ndor sipas standarteve minimale </w:t>
      </w:r>
      <w:r w:rsidRPr="004915AB">
        <w:rPr>
          <w:rFonts w:ascii="Times New Roman" w:hAnsi="Times New Roman" w:cs="Times New Roman"/>
          <w:sz w:val="24"/>
          <w:szCs w:val="24"/>
        </w:rPr>
        <w:t>dhe t</w:t>
      </w:r>
      <w:r>
        <w:rPr>
          <w:rFonts w:ascii="Times New Roman" w:hAnsi="Times New Roman" w:cs="Times New Roman"/>
          <w:sz w:val="24"/>
          <w:szCs w:val="24"/>
        </w:rPr>
        <w:t>ë</w:t>
      </w:r>
      <w:r w:rsidRPr="004915AB">
        <w:rPr>
          <w:rFonts w:ascii="Times New Roman" w:hAnsi="Times New Roman" w:cs="Times New Roman"/>
          <w:sz w:val="24"/>
          <w:szCs w:val="24"/>
        </w:rPr>
        <w:t xml:space="preserve"> p</w:t>
      </w:r>
      <w:r>
        <w:rPr>
          <w:rFonts w:ascii="Times New Roman" w:hAnsi="Times New Roman" w:cs="Times New Roman"/>
          <w:sz w:val="24"/>
          <w:szCs w:val="24"/>
        </w:rPr>
        <w:t>ë</w:t>
      </w:r>
      <w:r w:rsidRPr="004915AB">
        <w:rPr>
          <w:rFonts w:ascii="Times New Roman" w:hAnsi="Times New Roman" w:cs="Times New Roman"/>
          <w:sz w:val="24"/>
          <w:szCs w:val="24"/>
        </w:rPr>
        <w:t>rballueshme t</w:t>
      </w:r>
      <w:r>
        <w:rPr>
          <w:rFonts w:ascii="Times New Roman" w:hAnsi="Times New Roman" w:cs="Times New Roman"/>
          <w:sz w:val="24"/>
          <w:szCs w:val="24"/>
        </w:rPr>
        <w:t>ë</w:t>
      </w:r>
      <w:r w:rsidRPr="004915AB">
        <w:rPr>
          <w:rFonts w:ascii="Times New Roman" w:hAnsi="Times New Roman" w:cs="Times New Roman"/>
          <w:sz w:val="24"/>
          <w:szCs w:val="24"/>
        </w:rPr>
        <w:t xml:space="preserve"> miratuara p</w:t>
      </w:r>
      <w:r>
        <w:rPr>
          <w:rFonts w:ascii="Times New Roman" w:hAnsi="Times New Roman" w:cs="Times New Roman"/>
          <w:sz w:val="24"/>
          <w:szCs w:val="24"/>
        </w:rPr>
        <w:t>ë</w:t>
      </w:r>
      <w:r w:rsidRPr="004915AB">
        <w:rPr>
          <w:rFonts w:ascii="Times New Roman" w:hAnsi="Times New Roman" w:cs="Times New Roman"/>
          <w:sz w:val="24"/>
          <w:szCs w:val="24"/>
        </w:rPr>
        <w:t>r nj</w:t>
      </w:r>
      <w:r>
        <w:rPr>
          <w:rFonts w:ascii="Times New Roman" w:hAnsi="Times New Roman" w:cs="Times New Roman"/>
          <w:sz w:val="24"/>
          <w:szCs w:val="24"/>
        </w:rPr>
        <w:t>ë</w:t>
      </w:r>
      <w:r w:rsidRPr="004915AB">
        <w:rPr>
          <w:rFonts w:ascii="Times New Roman" w:hAnsi="Times New Roman" w:cs="Times New Roman"/>
          <w:sz w:val="24"/>
          <w:szCs w:val="24"/>
        </w:rPr>
        <w:t xml:space="preserve"> sistem t</w:t>
      </w:r>
      <w:r>
        <w:rPr>
          <w:rFonts w:ascii="Times New Roman" w:hAnsi="Times New Roman" w:cs="Times New Roman"/>
          <w:sz w:val="24"/>
          <w:szCs w:val="24"/>
        </w:rPr>
        <w:t>ë</w:t>
      </w:r>
      <w:r w:rsidRPr="004915AB">
        <w:rPr>
          <w:rFonts w:ascii="Times New Roman" w:hAnsi="Times New Roman" w:cs="Times New Roman"/>
          <w:sz w:val="24"/>
          <w:szCs w:val="24"/>
        </w:rPr>
        <w:t xml:space="preserve"> q</w:t>
      </w:r>
      <w:r>
        <w:rPr>
          <w:rFonts w:ascii="Times New Roman" w:hAnsi="Times New Roman" w:cs="Times New Roman"/>
          <w:sz w:val="24"/>
          <w:szCs w:val="24"/>
        </w:rPr>
        <w:t>ë</w:t>
      </w:r>
      <w:r w:rsidRPr="004915AB">
        <w:rPr>
          <w:rFonts w:ascii="Times New Roman" w:hAnsi="Times New Roman" w:cs="Times New Roman"/>
          <w:sz w:val="24"/>
          <w:szCs w:val="24"/>
        </w:rPr>
        <w:t>ndruesh</w:t>
      </w:r>
      <w:r>
        <w:rPr>
          <w:rFonts w:ascii="Times New Roman" w:hAnsi="Times New Roman" w:cs="Times New Roman"/>
          <w:sz w:val="24"/>
          <w:szCs w:val="24"/>
        </w:rPr>
        <w:t>ë</w:t>
      </w:r>
      <w:r w:rsidRPr="004915AB">
        <w:rPr>
          <w:rFonts w:ascii="Times New Roman" w:hAnsi="Times New Roman" w:cs="Times New Roman"/>
          <w:sz w:val="24"/>
          <w:szCs w:val="24"/>
        </w:rPr>
        <w:t>m n</w:t>
      </w:r>
      <w:r>
        <w:rPr>
          <w:rFonts w:ascii="Times New Roman" w:hAnsi="Times New Roman" w:cs="Times New Roman"/>
          <w:sz w:val="24"/>
          <w:szCs w:val="24"/>
        </w:rPr>
        <w:t>ë</w:t>
      </w:r>
      <w:r w:rsidRPr="004915AB">
        <w:rPr>
          <w:rFonts w:ascii="Times New Roman" w:hAnsi="Times New Roman" w:cs="Times New Roman"/>
          <w:sz w:val="24"/>
          <w:szCs w:val="24"/>
        </w:rPr>
        <w:t xml:space="preserve"> vend.</w:t>
      </w:r>
    </w:p>
    <w:p w14:paraId="1246CEA2" w14:textId="77777777" w:rsidR="00BC1077" w:rsidRDefault="00BC1077">
      <w:pPr>
        <w:pStyle w:val="NormalWeb"/>
        <w:spacing w:before="0" w:beforeAutospacing="0" w:after="0" w:afterAutospacing="0"/>
        <w:jc w:val="both"/>
      </w:pPr>
    </w:p>
    <w:sdt>
      <w:sdtPr>
        <w:rPr>
          <w:rFonts w:ascii="Times New Roman" w:hAnsi="Times New Roman" w:cs="Times New Roman"/>
          <w:caps w:val="0"/>
          <w:color w:val="auto"/>
          <w:spacing w:val="0"/>
          <w:sz w:val="24"/>
          <w:szCs w:val="24"/>
        </w:rPr>
        <w:id w:val="1263257242"/>
        <w:docPartObj>
          <w:docPartGallery w:val="Table of Contents"/>
          <w:docPartUnique/>
        </w:docPartObj>
      </w:sdtPr>
      <w:sdtEndPr>
        <w:rPr>
          <w:rFonts w:asciiTheme="minorHAnsi" w:hAnsiTheme="minorHAnsi" w:cstheme="minorBidi"/>
          <w:sz w:val="20"/>
          <w:szCs w:val="20"/>
        </w:rPr>
      </w:sdtEndPr>
      <w:sdtContent>
        <w:p w14:paraId="4171EAB4" w14:textId="77777777" w:rsidR="00BC1077" w:rsidRPr="0095061F" w:rsidRDefault="008E07A6">
          <w:pPr>
            <w:pStyle w:val="TOCHeading"/>
            <w:rPr>
              <w:rFonts w:ascii="Bahnschrift" w:hAnsi="Bahnschrift"/>
              <w:b/>
              <w:color w:val="auto"/>
            </w:rPr>
          </w:pPr>
          <w:r w:rsidRPr="0095061F">
            <w:rPr>
              <w:rFonts w:ascii="Bahnschrift" w:hAnsi="Bahnschrift" w:cs="Times New Roman"/>
              <w:b/>
              <w:color w:val="auto"/>
            </w:rPr>
            <w:t>Përmbajtja</w:t>
          </w:r>
          <w:r w:rsidRPr="0095061F">
            <w:rPr>
              <w:rFonts w:ascii="Bahnschrift" w:hAnsi="Bahnschrift"/>
              <w:b/>
              <w:color w:val="auto"/>
            </w:rPr>
            <w:t xml:space="preserve"> </w:t>
          </w:r>
        </w:p>
        <w:p w14:paraId="4A45CAAA" w14:textId="77777777" w:rsidR="00BC1077" w:rsidRDefault="00BC1077"/>
        <w:p w14:paraId="707B2754" w14:textId="79203D1F" w:rsidR="00245A3F" w:rsidRDefault="008E07A6">
          <w:pPr>
            <w:pStyle w:val="TOC2"/>
            <w:tabs>
              <w:tab w:val="right" w:leader="dot" w:pos="9350"/>
            </w:tabs>
            <w:rPr>
              <w:noProof/>
              <w:kern w:val="2"/>
              <w:sz w:val="22"/>
              <w:szCs w:val="22"/>
              <w14:ligatures w14:val="standardContextual"/>
            </w:rPr>
          </w:pPr>
          <w:r>
            <w:fldChar w:fldCharType="begin"/>
          </w:r>
          <w:r>
            <w:rPr>
              <w:b/>
              <w:bCs/>
              <w:noProof/>
            </w:rPr>
            <w:instrText xml:space="preserve"> TOC \o "1-3" \h \z \u </w:instrText>
          </w:r>
          <w:r>
            <w:fldChar w:fldCharType="separate"/>
          </w:r>
          <w:hyperlink w:anchor="_Toc209362156" w:history="1">
            <w:r w:rsidR="00245A3F" w:rsidRPr="00FC083D">
              <w:rPr>
                <w:rStyle w:val="Hyperlink"/>
                <w:rFonts w:ascii="Bahnschrift" w:eastAsia="Times New Roman" w:hAnsi="Bahnschrift"/>
                <w:noProof/>
              </w:rPr>
              <w:t>Fjalor Shpjegues</w:t>
            </w:r>
            <w:r w:rsidR="00245A3F">
              <w:rPr>
                <w:noProof/>
                <w:webHidden/>
              </w:rPr>
              <w:tab/>
            </w:r>
            <w:r w:rsidR="00245A3F">
              <w:rPr>
                <w:noProof/>
                <w:webHidden/>
              </w:rPr>
              <w:fldChar w:fldCharType="begin"/>
            </w:r>
            <w:r w:rsidR="00245A3F">
              <w:rPr>
                <w:noProof/>
                <w:webHidden/>
              </w:rPr>
              <w:instrText xml:space="preserve"> PAGEREF _Toc209362156 \h </w:instrText>
            </w:r>
            <w:r w:rsidR="00245A3F">
              <w:rPr>
                <w:noProof/>
                <w:webHidden/>
              </w:rPr>
            </w:r>
            <w:r w:rsidR="00245A3F">
              <w:rPr>
                <w:noProof/>
                <w:webHidden/>
              </w:rPr>
              <w:fldChar w:fldCharType="separate"/>
            </w:r>
            <w:r w:rsidR="00245A3F">
              <w:rPr>
                <w:noProof/>
                <w:webHidden/>
              </w:rPr>
              <w:t>3</w:t>
            </w:r>
            <w:r w:rsidR="00245A3F">
              <w:rPr>
                <w:noProof/>
                <w:webHidden/>
              </w:rPr>
              <w:fldChar w:fldCharType="end"/>
            </w:r>
          </w:hyperlink>
        </w:p>
        <w:p w14:paraId="3FA0A7A5" w14:textId="1A02ADBB" w:rsidR="00245A3F" w:rsidRDefault="003814C2">
          <w:pPr>
            <w:pStyle w:val="TOC2"/>
            <w:tabs>
              <w:tab w:val="right" w:leader="dot" w:pos="9350"/>
            </w:tabs>
            <w:rPr>
              <w:noProof/>
              <w:kern w:val="2"/>
              <w:sz w:val="22"/>
              <w:szCs w:val="22"/>
              <w14:ligatures w14:val="standardContextual"/>
            </w:rPr>
          </w:pPr>
          <w:hyperlink w:anchor="_Toc209362157" w:history="1">
            <w:r w:rsidR="00245A3F" w:rsidRPr="00FC083D">
              <w:rPr>
                <w:rStyle w:val="Hyperlink"/>
                <w:rFonts w:ascii="Bahnschrift" w:eastAsia="Times New Roman" w:hAnsi="Bahnschrift"/>
                <w:noProof/>
              </w:rPr>
              <w:t>Qellimi I Raportit</w:t>
            </w:r>
            <w:r w:rsidR="00245A3F">
              <w:rPr>
                <w:noProof/>
                <w:webHidden/>
              </w:rPr>
              <w:tab/>
            </w:r>
            <w:r w:rsidR="00245A3F">
              <w:rPr>
                <w:noProof/>
                <w:webHidden/>
              </w:rPr>
              <w:fldChar w:fldCharType="begin"/>
            </w:r>
            <w:r w:rsidR="00245A3F">
              <w:rPr>
                <w:noProof/>
                <w:webHidden/>
              </w:rPr>
              <w:instrText xml:space="preserve"> PAGEREF _Toc209362157 \h </w:instrText>
            </w:r>
            <w:r w:rsidR="00245A3F">
              <w:rPr>
                <w:noProof/>
                <w:webHidden/>
              </w:rPr>
            </w:r>
            <w:r w:rsidR="00245A3F">
              <w:rPr>
                <w:noProof/>
                <w:webHidden/>
              </w:rPr>
              <w:fldChar w:fldCharType="separate"/>
            </w:r>
            <w:r w:rsidR="00245A3F">
              <w:rPr>
                <w:noProof/>
                <w:webHidden/>
              </w:rPr>
              <w:t>6</w:t>
            </w:r>
            <w:r w:rsidR="00245A3F">
              <w:rPr>
                <w:noProof/>
                <w:webHidden/>
              </w:rPr>
              <w:fldChar w:fldCharType="end"/>
            </w:r>
          </w:hyperlink>
        </w:p>
        <w:p w14:paraId="114C2E99" w14:textId="4BC0920A" w:rsidR="00245A3F" w:rsidRDefault="003814C2">
          <w:pPr>
            <w:pStyle w:val="TOC2"/>
            <w:tabs>
              <w:tab w:val="right" w:leader="dot" w:pos="9350"/>
            </w:tabs>
            <w:rPr>
              <w:noProof/>
              <w:kern w:val="2"/>
              <w:sz w:val="22"/>
              <w:szCs w:val="22"/>
              <w14:ligatures w14:val="standardContextual"/>
            </w:rPr>
          </w:pPr>
          <w:hyperlink w:anchor="_Toc209362158" w:history="1">
            <w:r w:rsidR="00245A3F" w:rsidRPr="00FC083D">
              <w:rPr>
                <w:rStyle w:val="Hyperlink"/>
                <w:rFonts w:ascii="Bahnschrift" w:eastAsia="Times New Roman" w:hAnsi="Bahnschrift"/>
                <w:noProof/>
              </w:rPr>
              <w:t>Vështrim i Përgjithshëm mbi Bashkinë</w:t>
            </w:r>
            <w:r w:rsidR="00245A3F">
              <w:rPr>
                <w:noProof/>
                <w:webHidden/>
              </w:rPr>
              <w:tab/>
            </w:r>
            <w:r w:rsidR="00245A3F">
              <w:rPr>
                <w:noProof/>
                <w:webHidden/>
              </w:rPr>
              <w:fldChar w:fldCharType="begin"/>
            </w:r>
            <w:r w:rsidR="00245A3F">
              <w:rPr>
                <w:noProof/>
                <w:webHidden/>
              </w:rPr>
              <w:instrText xml:space="preserve"> PAGEREF _Toc209362158 \h </w:instrText>
            </w:r>
            <w:r w:rsidR="00245A3F">
              <w:rPr>
                <w:noProof/>
                <w:webHidden/>
              </w:rPr>
            </w:r>
            <w:r w:rsidR="00245A3F">
              <w:rPr>
                <w:noProof/>
                <w:webHidden/>
              </w:rPr>
              <w:fldChar w:fldCharType="separate"/>
            </w:r>
            <w:r w:rsidR="00245A3F">
              <w:rPr>
                <w:noProof/>
                <w:webHidden/>
              </w:rPr>
              <w:t>6</w:t>
            </w:r>
            <w:r w:rsidR="00245A3F">
              <w:rPr>
                <w:noProof/>
                <w:webHidden/>
              </w:rPr>
              <w:fldChar w:fldCharType="end"/>
            </w:r>
          </w:hyperlink>
        </w:p>
        <w:p w14:paraId="32A46C43" w14:textId="41061776" w:rsidR="00245A3F" w:rsidRDefault="003814C2">
          <w:pPr>
            <w:pStyle w:val="TOC2"/>
            <w:tabs>
              <w:tab w:val="right" w:leader="dot" w:pos="9350"/>
            </w:tabs>
            <w:rPr>
              <w:noProof/>
              <w:kern w:val="2"/>
              <w:sz w:val="22"/>
              <w:szCs w:val="22"/>
              <w14:ligatures w14:val="standardContextual"/>
            </w:rPr>
          </w:pPr>
          <w:hyperlink w:anchor="_Toc209362159" w:history="1">
            <w:r w:rsidR="00245A3F" w:rsidRPr="00FC083D">
              <w:rPr>
                <w:rStyle w:val="Hyperlink"/>
                <w:rFonts w:ascii="Bahnschrift" w:eastAsia="Times New Roman" w:hAnsi="Bahnschrift"/>
                <w:noProof/>
              </w:rPr>
              <w:t>Të Dhënat e Përgjithshme të Bashkisë</w:t>
            </w:r>
            <w:r w:rsidR="00245A3F">
              <w:rPr>
                <w:noProof/>
                <w:webHidden/>
              </w:rPr>
              <w:tab/>
            </w:r>
            <w:r w:rsidR="00245A3F">
              <w:rPr>
                <w:noProof/>
                <w:webHidden/>
              </w:rPr>
              <w:fldChar w:fldCharType="begin"/>
            </w:r>
            <w:r w:rsidR="00245A3F">
              <w:rPr>
                <w:noProof/>
                <w:webHidden/>
              </w:rPr>
              <w:instrText xml:space="preserve"> PAGEREF _Toc209362159 \h </w:instrText>
            </w:r>
            <w:r w:rsidR="00245A3F">
              <w:rPr>
                <w:noProof/>
                <w:webHidden/>
              </w:rPr>
            </w:r>
            <w:r w:rsidR="00245A3F">
              <w:rPr>
                <w:noProof/>
                <w:webHidden/>
              </w:rPr>
              <w:fldChar w:fldCharType="separate"/>
            </w:r>
            <w:r w:rsidR="00245A3F">
              <w:rPr>
                <w:noProof/>
                <w:webHidden/>
              </w:rPr>
              <w:t>7</w:t>
            </w:r>
            <w:r w:rsidR="00245A3F">
              <w:rPr>
                <w:noProof/>
                <w:webHidden/>
              </w:rPr>
              <w:fldChar w:fldCharType="end"/>
            </w:r>
          </w:hyperlink>
        </w:p>
        <w:p w14:paraId="68DA2785" w14:textId="31C3DB0D" w:rsidR="00245A3F" w:rsidRDefault="003814C2">
          <w:pPr>
            <w:pStyle w:val="TOC2"/>
            <w:tabs>
              <w:tab w:val="right" w:leader="dot" w:pos="9350"/>
            </w:tabs>
            <w:rPr>
              <w:noProof/>
              <w:kern w:val="2"/>
              <w:sz w:val="22"/>
              <w:szCs w:val="22"/>
              <w14:ligatures w14:val="standardContextual"/>
            </w:rPr>
          </w:pPr>
          <w:hyperlink w:anchor="_Toc209362160" w:history="1">
            <w:r w:rsidR="00245A3F" w:rsidRPr="00FC083D">
              <w:rPr>
                <w:rStyle w:val="Hyperlink"/>
                <w:rFonts w:eastAsia="Times New Roman"/>
                <w:noProof/>
              </w:rPr>
              <w:t>SHERBIME PUBLIKE VENDORE</w:t>
            </w:r>
            <w:r w:rsidR="00245A3F">
              <w:rPr>
                <w:noProof/>
                <w:webHidden/>
              </w:rPr>
              <w:tab/>
            </w:r>
            <w:r w:rsidR="00245A3F">
              <w:rPr>
                <w:noProof/>
                <w:webHidden/>
              </w:rPr>
              <w:fldChar w:fldCharType="begin"/>
            </w:r>
            <w:r w:rsidR="00245A3F">
              <w:rPr>
                <w:noProof/>
                <w:webHidden/>
              </w:rPr>
              <w:instrText xml:space="preserve"> PAGEREF _Toc209362160 \h </w:instrText>
            </w:r>
            <w:r w:rsidR="00245A3F">
              <w:rPr>
                <w:noProof/>
                <w:webHidden/>
              </w:rPr>
            </w:r>
            <w:r w:rsidR="00245A3F">
              <w:rPr>
                <w:noProof/>
                <w:webHidden/>
              </w:rPr>
              <w:fldChar w:fldCharType="separate"/>
            </w:r>
            <w:r w:rsidR="00245A3F">
              <w:rPr>
                <w:noProof/>
                <w:webHidden/>
              </w:rPr>
              <w:t>8</w:t>
            </w:r>
            <w:r w:rsidR="00245A3F">
              <w:rPr>
                <w:noProof/>
                <w:webHidden/>
              </w:rPr>
              <w:fldChar w:fldCharType="end"/>
            </w:r>
          </w:hyperlink>
        </w:p>
        <w:p w14:paraId="142B09B6" w14:textId="32B51834" w:rsidR="00245A3F" w:rsidRDefault="003814C2">
          <w:pPr>
            <w:pStyle w:val="TOC2"/>
            <w:tabs>
              <w:tab w:val="right" w:leader="dot" w:pos="9350"/>
            </w:tabs>
            <w:rPr>
              <w:noProof/>
              <w:kern w:val="2"/>
              <w:sz w:val="22"/>
              <w:szCs w:val="22"/>
              <w14:ligatures w14:val="standardContextual"/>
            </w:rPr>
          </w:pPr>
          <w:hyperlink w:anchor="_Toc209362161"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Bahnschrift" w:eastAsia="Times New Roman" w:hAnsi="Bahnschrift"/>
                <w:noProof/>
              </w:rPr>
              <w:t xml:space="preserve"> Arsimi Paraniversitar</w:t>
            </w:r>
            <w:r w:rsidR="00245A3F">
              <w:rPr>
                <w:noProof/>
                <w:webHidden/>
              </w:rPr>
              <w:tab/>
            </w:r>
            <w:r w:rsidR="00245A3F">
              <w:rPr>
                <w:noProof/>
                <w:webHidden/>
              </w:rPr>
              <w:fldChar w:fldCharType="begin"/>
            </w:r>
            <w:r w:rsidR="00245A3F">
              <w:rPr>
                <w:noProof/>
                <w:webHidden/>
              </w:rPr>
              <w:instrText xml:space="preserve"> PAGEREF _Toc209362161 \h </w:instrText>
            </w:r>
            <w:r w:rsidR="00245A3F">
              <w:rPr>
                <w:noProof/>
                <w:webHidden/>
              </w:rPr>
            </w:r>
            <w:r w:rsidR="00245A3F">
              <w:rPr>
                <w:noProof/>
                <w:webHidden/>
              </w:rPr>
              <w:fldChar w:fldCharType="separate"/>
            </w:r>
            <w:r w:rsidR="00245A3F">
              <w:rPr>
                <w:noProof/>
                <w:webHidden/>
              </w:rPr>
              <w:t>8</w:t>
            </w:r>
            <w:r w:rsidR="00245A3F">
              <w:rPr>
                <w:noProof/>
                <w:webHidden/>
              </w:rPr>
              <w:fldChar w:fldCharType="end"/>
            </w:r>
          </w:hyperlink>
        </w:p>
        <w:p w14:paraId="52205046" w14:textId="393601FB" w:rsidR="00245A3F" w:rsidRDefault="003814C2">
          <w:pPr>
            <w:pStyle w:val="TOC1"/>
            <w:tabs>
              <w:tab w:val="right" w:leader="dot" w:pos="9350"/>
            </w:tabs>
            <w:rPr>
              <w:noProof/>
              <w:kern w:val="2"/>
              <w:sz w:val="22"/>
              <w:szCs w:val="22"/>
              <w14:ligatures w14:val="standardContextual"/>
            </w:rPr>
          </w:pPr>
          <w:hyperlink w:anchor="_Toc209362162" w:history="1">
            <w:r w:rsidR="00245A3F">
              <w:rPr>
                <w:noProof/>
                <w:webHidden/>
              </w:rPr>
              <w:tab/>
            </w:r>
            <w:r w:rsidR="00245A3F">
              <w:rPr>
                <w:noProof/>
                <w:webHidden/>
              </w:rPr>
              <w:fldChar w:fldCharType="begin"/>
            </w:r>
            <w:r w:rsidR="00245A3F">
              <w:rPr>
                <w:noProof/>
                <w:webHidden/>
              </w:rPr>
              <w:instrText xml:space="preserve"> PAGEREF _Toc209362162 \h </w:instrText>
            </w:r>
            <w:r w:rsidR="00245A3F">
              <w:rPr>
                <w:noProof/>
                <w:webHidden/>
              </w:rPr>
            </w:r>
            <w:r w:rsidR="00245A3F">
              <w:rPr>
                <w:noProof/>
                <w:webHidden/>
              </w:rPr>
              <w:fldChar w:fldCharType="separate"/>
            </w:r>
            <w:r w:rsidR="00245A3F">
              <w:rPr>
                <w:noProof/>
                <w:webHidden/>
              </w:rPr>
              <w:t>12</w:t>
            </w:r>
            <w:r w:rsidR="00245A3F">
              <w:rPr>
                <w:noProof/>
                <w:webHidden/>
              </w:rPr>
              <w:fldChar w:fldCharType="end"/>
            </w:r>
          </w:hyperlink>
        </w:p>
        <w:p w14:paraId="3CB4805F" w14:textId="0C05B4D4" w:rsidR="00245A3F" w:rsidRDefault="003814C2">
          <w:pPr>
            <w:pStyle w:val="TOC2"/>
            <w:tabs>
              <w:tab w:val="right" w:leader="dot" w:pos="9350"/>
            </w:tabs>
            <w:rPr>
              <w:noProof/>
              <w:kern w:val="2"/>
              <w:sz w:val="22"/>
              <w:szCs w:val="22"/>
              <w14:ligatures w14:val="standardContextual"/>
            </w:rPr>
          </w:pPr>
          <w:hyperlink w:anchor="_Toc209362163"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b/>
                <w:bCs/>
                <w:noProof/>
                <w:color w:val="auto"/>
              </w:rPr>
              <w:t>Menaxhimi i Mbetjeve</w:t>
            </w:r>
            <w:r w:rsidR="00245A3F">
              <w:rPr>
                <w:noProof/>
                <w:webHidden/>
              </w:rPr>
              <w:tab/>
            </w:r>
            <w:r w:rsidR="00245A3F">
              <w:rPr>
                <w:noProof/>
                <w:webHidden/>
              </w:rPr>
              <w:fldChar w:fldCharType="begin"/>
            </w:r>
            <w:r w:rsidR="00245A3F">
              <w:rPr>
                <w:noProof/>
                <w:webHidden/>
              </w:rPr>
              <w:instrText xml:space="preserve"> PAGEREF _Toc209362163 \h </w:instrText>
            </w:r>
            <w:r w:rsidR="00245A3F">
              <w:rPr>
                <w:noProof/>
                <w:webHidden/>
              </w:rPr>
            </w:r>
            <w:r w:rsidR="00245A3F">
              <w:rPr>
                <w:noProof/>
                <w:webHidden/>
              </w:rPr>
              <w:fldChar w:fldCharType="separate"/>
            </w:r>
            <w:r w:rsidR="00245A3F">
              <w:rPr>
                <w:noProof/>
                <w:webHidden/>
              </w:rPr>
              <w:t>13</w:t>
            </w:r>
            <w:r w:rsidR="00245A3F">
              <w:rPr>
                <w:noProof/>
                <w:webHidden/>
              </w:rPr>
              <w:fldChar w:fldCharType="end"/>
            </w:r>
          </w:hyperlink>
        </w:p>
        <w:p w14:paraId="73AD8869" w14:textId="777D9CE4" w:rsidR="00245A3F" w:rsidRDefault="003814C2">
          <w:pPr>
            <w:pStyle w:val="TOC2"/>
            <w:tabs>
              <w:tab w:val="right" w:leader="dot" w:pos="9350"/>
            </w:tabs>
            <w:rPr>
              <w:noProof/>
              <w:kern w:val="2"/>
              <w:sz w:val="22"/>
              <w:szCs w:val="22"/>
              <w14:ligatures w14:val="standardContextual"/>
            </w:rPr>
          </w:pPr>
          <w:hyperlink w:anchor="_Toc209362164"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noProof/>
                <w:color w:val="auto"/>
              </w:rPr>
              <w:t>Mbrojtja nga zjarri</w:t>
            </w:r>
            <w:r w:rsidR="00245A3F">
              <w:rPr>
                <w:noProof/>
                <w:webHidden/>
              </w:rPr>
              <w:tab/>
            </w:r>
            <w:r w:rsidR="00245A3F">
              <w:rPr>
                <w:noProof/>
                <w:webHidden/>
              </w:rPr>
              <w:fldChar w:fldCharType="begin"/>
            </w:r>
            <w:r w:rsidR="00245A3F">
              <w:rPr>
                <w:noProof/>
                <w:webHidden/>
              </w:rPr>
              <w:instrText xml:space="preserve"> PAGEREF _Toc209362164 \h </w:instrText>
            </w:r>
            <w:r w:rsidR="00245A3F">
              <w:rPr>
                <w:noProof/>
                <w:webHidden/>
              </w:rPr>
            </w:r>
            <w:r w:rsidR="00245A3F">
              <w:rPr>
                <w:noProof/>
                <w:webHidden/>
              </w:rPr>
              <w:fldChar w:fldCharType="separate"/>
            </w:r>
            <w:r w:rsidR="00245A3F">
              <w:rPr>
                <w:noProof/>
                <w:webHidden/>
              </w:rPr>
              <w:t>14</w:t>
            </w:r>
            <w:r w:rsidR="00245A3F">
              <w:rPr>
                <w:noProof/>
                <w:webHidden/>
              </w:rPr>
              <w:fldChar w:fldCharType="end"/>
            </w:r>
          </w:hyperlink>
        </w:p>
        <w:p w14:paraId="6357246C" w14:textId="5D5C4C4E" w:rsidR="00245A3F" w:rsidRDefault="003814C2">
          <w:pPr>
            <w:pStyle w:val="TOC2"/>
            <w:tabs>
              <w:tab w:val="right" w:leader="dot" w:pos="9350"/>
            </w:tabs>
            <w:rPr>
              <w:noProof/>
              <w:kern w:val="2"/>
              <w:sz w:val="22"/>
              <w:szCs w:val="22"/>
              <w14:ligatures w14:val="standardContextual"/>
            </w:rPr>
          </w:pPr>
          <w:hyperlink w:anchor="_Toc209362165"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noProof/>
                <w:color w:val="auto"/>
              </w:rPr>
              <w:t>Menaxhimi i infrastrukturës së ujitjes dhe kullimit</w:t>
            </w:r>
            <w:r w:rsidR="00245A3F">
              <w:rPr>
                <w:noProof/>
                <w:webHidden/>
              </w:rPr>
              <w:tab/>
            </w:r>
            <w:r w:rsidR="00245A3F">
              <w:rPr>
                <w:noProof/>
                <w:webHidden/>
              </w:rPr>
              <w:fldChar w:fldCharType="begin"/>
            </w:r>
            <w:r w:rsidR="00245A3F">
              <w:rPr>
                <w:noProof/>
                <w:webHidden/>
              </w:rPr>
              <w:instrText xml:space="preserve"> PAGEREF _Toc209362165 \h </w:instrText>
            </w:r>
            <w:r w:rsidR="00245A3F">
              <w:rPr>
                <w:noProof/>
                <w:webHidden/>
              </w:rPr>
            </w:r>
            <w:r w:rsidR="00245A3F">
              <w:rPr>
                <w:noProof/>
                <w:webHidden/>
              </w:rPr>
              <w:fldChar w:fldCharType="separate"/>
            </w:r>
            <w:r w:rsidR="00245A3F">
              <w:rPr>
                <w:noProof/>
                <w:webHidden/>
              </w:rPr>
              <w:t>15</w:t>
            </w:r>
            <w:r w:rsidR="00245A3F">
              <w:rPr>
                <w:noProof/>
                <w:webHidden/>
              </w:rPr>
              <w:fldChar w:fldCharType="end"/>
            </w:r>
          </w:hyperlink>
        </w:p>
        <w:p w14:paraId="211D1BE0" w14:textId="19518E4F" w:rsidR="00245A3F" w:rsidRDefault="003814C2">
          <w:pPr>
            <w:pStyle w:val="TOC2"/>
            <w:tabs>
              <w:tab w:val="right" w:leader="dot" w:pos="9350"/>
            </w:tabs>
            <w:rPr>
              <w:noProof/>
              <w:kern w:val="2"/>
              <w:sz w:val="22"/>
              <w:szCs w:val="22"/>
              <w14:ligatures w14:val="standardContextual"/>
            </w:rPr>
          </w:pPr>
          <w:hyperlink w:anchor="_Toc209362166"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b/>
                <w:bCs/>
                <w:noProof/>
                <w:color w:val="auto"/>
              </w:rPr>
              <w:t>Administrimi i pyjeve dhe kullotave</w:t>
            </w:r>
            <w:r w:rsidR="00245A3F">
              <w:rPr>
                <w:noProof/>
                <w:webHidden/>
              </w:rPr>
              <w:tab/>
            </w:r>
            <w:r w:rsidR="00245A3F">
              <w:rPr>
                <w:noProof/>
                <w:webHidden/>
              </w:rPr>
              <w:fldChar w:fldCharType="begin"/>
            </w:r>
            <w:r w:rsidR="00245A3F">
              <w:rPr>
                <w:noProof/>
                <w:webHidden/>
              </w:rPr>
              <w:instrText xml:space="preserve"> PAGEREF _Toc209362166 \h </w:instrText>
            </w:r>
            <w:r w:rsidR="00245A3F">
              <w:rPr>
                <w:noProof/>
                <w:webHidden/>
              </w:rPr>
            </w:r>
            <w:r w:rsidR="00245A3F">
              <w:rPr>
                <w:noProof/>
                <w:webHidden/>
              </w:rPr>
              <w:fldChar w:fldCharType="separate"/>
            </w:r>
            <w:r w:rsidR="00245A3F">
              <w:rPr>
                <w:noProof/>
                <w:webHidden/>
              </w:rPr>
              <w:t>16</w:t>
            </w:r>
            <w:r w:rsidR="00245A3F">
              <w:rPr>
                <w:noProof/>
                <w:webHidden/>
              </w:rPr>
              <w:fldChar w:fldCharType="end"/>
            </w:r>
          </w:hyperlink>
        </w:p>
        <w:p w14:paraId="74C335A4" w14:textId="47092FA0" w:rsidR="00245A3F" w:rsidRDefault="003814C2">
          <w:pPr>
            <w:pStyle w:val="TOC2"/>
            <w:tabs>
              <w:tab w:val="right" w:leader="dot" w:pos="9350"/>
            </w:tabs>
            <w:rPr>
              <w:noProof/>
              <w:kern w:val="2"/>
              <w:sz w:val="22"/>
              <w:szCs w:val="22"/>
              <w14:ligatures w14:val="standardContextual"/>
            </w:rPr>
          </w:pPr>
          <w:hyperlink w:anchor="_Toc209362167"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noProof/>
                <w:color w:val="auto"/>
              </w:rPr>
              <w:t>Mbrojtja Sociale</w:t>
            </w:r>
            <w:r w:rsidR="00245A3F">
              <w:rPr>
                <w:noProof/>
                <w:webHidden/>
              </w:rPr>
              <w:tab/>
            </w:r>
            <w:r w:rsidR="00245A3F">
              <w:rPr>
                <w:noProof/>
                <w:webHidden/>
              </w:rPr>
              <w:fldChar w:fldCharType="begin"/>
            </w:r>
            <w:r w:rsidR="00245A3F">
              <w:rPr>
                <w:noProof/>
                <w:webHidden/>
              </w:rPr>
              <w:instrText xml:space="preserve"> PAGEREF _Toc209362167 \h </w:instrText>
            </w:r>
            <w:r w:rsidR="00245A3F">
              <w:rPr>
                <w:noProof/>
                <w:webHidden/>
              </w:rPr>
            </w:r>
            <w:r w:rsidR="00245A3F">
              <w:rPr>
                <w:noProof/>
                <w:webHidden/>
              </w:rPr>
              <w:fldChar w:fldCharType="separate"/>
            </w:r>
            <w:r w:rsidR="00245A3F">
              <w:rPr>
                <w:noProof/>
                <w:webHidden/>
              </w:rPr>
              <w:t>17</w:t>
            </w:r>
            <w:r w:rsidR="00245A3F">
              <w:rPr>
                <w:noProof/>
                <w:webHidden/>
              </w:rPr>
              <w:fldChar w:fldCharType="end"/>
            </w:r>
          </w:hyperlink>
        </w:p>
        <w:p w14:paraId="7FEDC98A" w14:textId="0BB7AADF" w:rsidR="00245A3F" w:rsidRDefault="003814C2">
          <w:pPr>
            <w:pStyle w:val="TOC2"/>
            <w:tabs>
              <w:tab w:val="right" w:leader="dot" w:pos="9350"/>
            </w:tabs>
            <w:rPr>
              <w:noProof/>
              <w:kern w:val="2"/>
              <w:sz w:val="22"/>
              <w:szCs w:val="22"/>
              <w14:ligatures w14:val="standardContextual"/>
            </w:rPr>
          </w:pPr>
          <w:hyperlink w:anchor="_Toc209362168" w:history="1">
            <w:r w:rsidR="00245A3F" w:rsidRPr="00FC083D">
              <w:rPr>
                <w:rStyle w:val="Hyperlink"/>
                <w:rFonts w:ascii="Segoe UI Emoji" w:eastAsia="Times New Roman" w:hAnsi="Segoe UI Emoji" w:cs="Segoe UI Emoji"/>
                <w:noProof/>
              </w:rPr>
              <w:t>QEVERISJA E MIRE</w:t>
            </w:r>
            <w:r w:rsidR="00245A3F">
              <w:rPr>
                <w:noProof/>
                <w:webHidden/>
              </w:rPr>
              <w:tab/>
            </w:r>
            <w:r w:rsidR="00245A3F">
              <w:rPr>
                <w:noProof/>
                <w:webHidden/>
              </w:rPr>
              <w:fldChar w:fldCharType="begin"/>
            </w:r>
            <w:r w:rsidR="00245A3F">
              <w:rPr>
                <w:noProof/>
                <w:webHidden/>
              </w:rPr>
              <w:instrText xml:space="preserve"> PAGEREF _Toc209362168 \h </w:instrText>
            </w:r>
            <w:r w:rsidR="00245A3F">
              <w:rPr>
                <w:noProof/>
                <w:webHidden/>
              </w:rPr>
            </w:r>
            <w:r w:rsidR="00245A3F">
              <w:rPr>
                <w:noProof/>
                <w:webHidden/>
              </w:rPr>
              <w:fldChar w:fldCharType="separate"/>
            </w:r>
            <w:r w:rsidR="00245A3F">
              <w:rPr>
                <w:noProof/>
                <w:webHidden/>
              </w:rPr>
              <w:t>18</w:t>
            </w:r>
            <w:r w:rsidR="00245A3F">
              <w:rPr>
                <w:noProof/>
                <w:webHidden/>
              </w:rPr>
              <w:fldChar w:fldCharType="end"/>
            </w:r>
          </w:hyperlink>
        </w:p>
        <w:p w14:paraId="6059A1CD" w14:textId="38E5DA4B" w:rsidR="00245A3F" w:rsidRDefault="003814C2">
          <w:pPr>
            <w:pStyle w:val="TOC2"/>
            <w:tabs>
              <w:tab w:val="right" w:leader="dot" w:pos="9350"/>
            </w:tabs>
            <w:rPr>
              <w:noProof/>
              <w:kern w:val="2"/>
              <w:sz w:val="22"/>
              <w:szCs w:val="22"/>
              <w14:ligatures w14:val="standardContextual"/>
            </w:rPr>
          </w:pPr>
          <w:hyperlink w:anchor="_Toc209362169" w:history="1">
            <w:r w:rsidR="00245A3F" w:rsidRPr="00FC083D">
              <w:rPr>
                <w:rStyle w:val="Hyperlink"/>
                <w:rFonts w:ascii="Segoe UI Emoji" w:eastAsia="Times New Roman" w:hAnsi="Segoe UI Emoji" w:cs="Segoe UI Emoji"/>
                <w:b/>
                <w:noProof/>
              </w:rPr>
              <w:t>👥 Burimet Njerëzore</w:t>
            </w:r>
            <w:r w:rsidR="00245A3F">
              <w:rPr>
                <w:noProof/>
                <w:webHidden/>
              </w:rPr>
              <w:tab/>
            </w:r>
            <w:r w:rsidR="00245A3F">
              <w:rPr>
                <w:noProof/>
                <w:webHidden/>
              </w:rPr>
              <w:fldChar w:fldCharType="begin"/>
            </w:r>
            <w:r w:rsidR="00245A3F">
              <w:rPr>
                <w:noProof/>
                <w:webHidden/>
              </w:rPr>
              <w:instrText xml:space="preserve"> PAGEREF _Toc209362169 \h </w:instrText>
            </w:r>
            <w:r w:rsidR="00245A3F">
              <w:rPr>
                <w:noProof/>
                <w:webHidden/>
              </w:rPr>
            </w:r>
            <w:r w:rsidR="00245A3F">
              <w:rPr>
                <w:noProof/>
                <w:webHidden/>
              </w:rPr>
              <w:fldChar w:fldCharType="separate"/>
            </w:r>
            <w:r w:rsidR="00245A3F">
              <w:rPr>
                <w:noProof/>
                <w:webHidden/>
              </w:rPr>
              <w:t>18</w:t>
            </w:r>
            <w:r w:rsidR="00245A3F">
              <w:rPr>
                <w:noProof/>
                <w:webHidden/>
              </w:rPr>
              <w:fldChar w:fldCharType="end"/>
            </w:r>
          </w:hyperlink>
        </w:p>
        <w:p w14:paraId="69A11A40" w14:textId="47B31F35" w:rsidR="00245A3F" w:rsidRDefault="003814C2">
          <w:pPr>
            <w:pStyle w:val="TOC2"/>
            <w:tabs>
              <w:tab w:val="right" w:leader="dot" w:pos="9350"/>
            </w:tabs>
            <w:rPr>
              <w:noProof/>
              <w:kern w:val="2"/>
              <w:sz w:val="22"/>
              <w:szCs w:val="22"/>
              <w14:ligatures w14:val="standardContextual"/>
            </w:rPr>
          </w:pPr>
          <w:hyperlink w:anchor="_Toc209362170" w:history="1">
            <w:r w:rsidR="00245A3F" w:rsidRPr="00FC083D">
              <w:rPr>
                <w:rStyle w:val="Hyperlink"/>
                <w:rFonts w:ascii="Segoe UI Emoji" w:eastAsia="Times New Roman" w:hAnsi="Segoe UI Emoji" w:cs="Segoe UI Emoji"/>
                <w:b/>
                <w:noProof/>
              </w:rPr>
              <w:t>📖 Transparenca</w:t>
            </w:r>
            <w:r w:rsidR="00245A3F">
              <w:rPr>
                <w:noProof/>
                <w:webHidden/>
              </w:rPr>
              <w:tab/>
            </w:r>
            <w:r w:rsidR="00245A3F">
              <w:rPr>
                <w:noProof/>
                <w:webHidden/>
              </w:rPr>
              <w:fldChar w:fldCharType="begin"/>
            </w:r>
            <w:r w:rsidR="00245A3F">
              <w:rPr>
                <w:noProof/>
                <w:webHidden/>
              </w:rPr>
              <w:instrText xml:space="preserve"> PAGEREF _Toc209362170 \h </w:instrText>
            </w:r>
            <w:r w:rsidR="00245A3F">
              <w:rPr>
                <w:noProof/>
                <w:webHidden/>
              </w:rPr>
            </w:r>
            <w:r w:rsidR="00245A3F">
              <w:rPr>
                <w:noProof/>
                <w:webHidden/>
              </w:rPr>
              <w:fldChar w:fldCharType="separate"/>
            </w:r>
            <w:r w:rsidR="00245A3F">
              <w:rPr>
                <w:noProof/>
                <w:webHidden/>
              </w:rPr>
              <w:t>18</w:t>
            </w:r>
            <w:r w:rsidR="00245A3F">
              <w:rPr>
                <w:noProof/>
                <w:webHidden/>
              </w:rPr>
              <w:fldChar w:fldCharType="end"/>
            </w:r>
          </w:hyperlink>
        </w:p>
        <w:p w14:paraId="6478EEDA" w14:textId="7763BAFA" w:rsidR="00245A3F" w:rsidRDefault="003814C2">
          <w:pPr>
            <w:pStyle w:val="TOC2"/>
            <w:tabs>
              <w:tab w:val="right" w:leader="dot" w:pos="9350"/>
            </w:tabs>
            <w:rPr>
              <w:noProof/>
              <w:kern w:val="2"/>
              <w:sz w:val="22"/>
              <w:szCs w:val="22"/>
              <w14:ligatures w14:val="standardContextual"/>
            </w:rPr>
          </w:pPr>
          <w:hyperlink w:anchor="_Toc209362171" w:history="1">
            <w:r w:rsidR="00245A3F" w:rsidRPr="00FC083D">
              <w:rPr>
                <w:rStyle w:val="Hyperlink"/>
                <w:rFonts w:ascii="Segoe UI Emoji" w:eastAsia="Times New Roman" w:hAnsi="Segoe UI Emoji" w:cs="Segoe UI Emoji"/>
                <w:b/>
                <w:noProof/>
              </w:rPr>
              <w:t>⚖️ Barazia Gjinore</w:t>
            </w:r>
            <w:r w:rsidR="00245A3F">
              <w:rPr>
                <w:noProof/>
                <w:webHidden/>
              </w:rPr>
              <w:tab/>
            </w:r>
            <w:r w:rsidR="00245A3F">
              <w:rPr>
                <w:noProof/>
                <w:webHidden/>
              </w:rPr>
              <w:fldChar w:fldCharType="begin"/>
            </w:r>
            <w:r w:rsidR="00245A3F">
              <w:rPr>
                <w:noProof/>
                <w:webHidden/>
              </w:rPr>
              <w:instrText xml:space="preserve"> PAGEREF _Toc209362171 \h </w:instrText>
            </w:r>
            <w:r w:rsidR="00245A3F">
              <w:rPr>
                <w:noProof/>
                <w:webHidden/>
              </w:rPr>
            </w:r>
            <w:r w:rsidR="00245A3F">
              <w:rPr>
                <w:noProof/>
                <w:webHidden/>
              </w:rPr>
              <w:fldChar w:fldCharType="separate"/>
            </w:r>
            <w:r w:rsidR="00245A3F">
              <w:rPr>
                <w:noProof/>
                <w:webHidden/>
              </w:rPr>
              <w:t>18</w:t>
            </w:r>
            <w:r w:rsidR="00245A3F">
              <w:rPr>
                <w:noProof/>
                <w:webHidden/>
              </w:rPr>
              <w:fldChar w:fldCharType="end"/>
            </w:r>
          </w:hyperlink>
        </w:p>
        <w:p w14:paraId="0E7006BA" w14:textId="5A9D95BB" w:rsidR="00245A3F" w:rsidRDefault="003814C2">
          <w:pPr>
            <w:pStyle w:val="TOC2"/>
            <w:tabs>
              <w:tab w:val="right" w:leader="dot" w:pos="9350"/>
            </w:tabs>
            <w:rPr>
              <w:noProof/>
              <w:kern w:val="2"/>
              <w:sz w:val="22"/>
              <w:szCs w:val="22"/>
              <w14:ligatures w14:val="standardContextual"/>
            </w:rPr>
          </w:pPr>
          <w:hyperlink w:anchor="_Toc209362172" w:history="1">
            <w:r w:rsidR="00245A3F" w:rsidRPr="00FC083D">
              <w:rPr>
                <w:rStyle w:val="Hyperlink"/>
                <w:rFonts w:ascii="Segoe UI Emoji" w:eastAsia="Times New Roman" w:hAnsi="Segoe UI Emoji" w:cs="Segoe UI Emoji"/>
                <w:b/>
                <w:noProof/>
              </w:rPr>
              <w:t>🇪🇺 Integrimi në BE</w:t>
            </w:r>
            <w:r w:rsidR="00245A3F">
              <w:rPr>
                <w:noProof/>
                <w:webHidden/>
              </w:rPr>
              <w:tab/>
            </w:r>
            <w:r w:rsidR="00245A3F">
              <w:rPr>
                <w:noProof/>
                <w:webHidden/>
              </w:rPr>
              <w:fldChar w:fldCharType="begin"/>
            </w:r>
            <w:r w:rsidR="00245A3F">
              <w:rPr>
                <w:noProof/>
                <w:webHidden/>
              </w:rPr>
              <w:instrText xml:space="preserve"> PAGEREF _Toc209362172 \h </w:instrText>
            </w:r>
            <w:r w:rsidR="00245A3F">
              <w:rPr>
                <w:noProof/>
                <w:webHidden/>
              </w:rPr>
            </w:r>
            <w:r w:rsidR="00245A3F">
              <w:rPr>
                <w:noProof/>
                <w:webHidden/>
              </w:rPr>
              <w:fldChar w:fldCharType="separate"/>
            </w:r>
            <w:r w:rsidR="00245A3F">
              <w:rPr>
                <w:noProof/>
                <w:webHidden/>
              </w:rPr>
              <w:t>19</w:t>
            </w:r>
            <w:r w:rsidR="00245A3F">
              <w:rPr>
                <w:noProof/>
                <w:webHidden/>
              </w:rPr>
              <w:fldChar w:fldCharType="end"/>
            </w:r>
          </w:hyperlink>
        </w:p>
        <w:p w14:paraId="7ABEC5C3" w14:textId="2FF143B6" w:rsidR="00245A3F" w:rsidRDefault="003814C2">
          <w:pPr>
            <w:pStyle w:val="TOC2"/>
            <w:tabs>
              <w:tab w:val="right" w:leader="dot" w:pos="9350"/>
            </w:tabs>
            <w:rPr>
              <w:noProof/>
              <w:kern w:val="2"/>
              <w:sz w:val="22"/>
              <w:szCs w:val="22"/>
              <w14:ligatures w14:val="standardContextual"/>
            </w:rPr>
          </w:pPr>
          <w:hyperlink w:anchor="_Toc209362173" w:history="1">
            <w:r w:rsidR="00245A3F" w:rsidRPr="00FC083D">
              <w:rPr>
                <w:rStyle w:val="Hyperlink"/>
                <w:rFonts w:ascii="Bahnschrift" w:eastAsia="Times New Roman" w:hAnsi="Bahnschrift"/>
                <w:noProof/>
              </w:rPr>
              <w:t>MENAXHIMI FINANCIAR</w:t>
            </w:r>
            <w:r w:rsidR="00245A3F">
              <w:rPr>
                <w:noProof/>
                <w:webHidden/>
              </w:rPr>
              <w:tab/>
            </w:r>
            <w:r w:rsidR="00245A3F">
              <w:rPr>
                <w:noProof/>
                <w:webHidden/>
              </w:rPr>
              <w:fldChar w:fldCharType="begin"/>
            </w:r>
            <w:r w:rsidR="00245A3F">
              <w:rPr>
                <w:noProof/>
                <w:webHidden/>
              </w:rPr>
              <w:instrText xml:space="preserve"> PAGEREF _Toc209362173 \h </w:instrText>
            </w:r>
            <w:r w:rsidR="00245A3F">
              <w:rPr>
                <w:noProof/>
                <w:webHidden/>
              </w:rPr>
            </w:r>
            <w:r w:rsidR="00245A3F">
              <w:rPr>
                <w:noProof/>
                <w:webHidden/>
              </w:rPr>
              <w:fldChar w:fldCharType="separate"/>
            </w:r>
            <w:r w:rsidR="00245A3F">
              <w:rPr>
                <w:noProof/>
                <w:webHidden/>
              </w:rPr>
              <w:t>20</w:t>
            </w:r>
            <w:r w:rsidR="00245A3F">
              <w:rPr>
                <w:noProof/>
                <w:webHidden/>
              </w:rPr>
              <w:fldChar w:fldCharType="end"/>
            </w:r>
          </w:hyperlink>
        </w:p>
        <w:p w14:paraId="03B5D2E3" w14:textId="7A265A10" w:rsidR="00245A3F" w:rsidRDefault="003814C2">
          <w:pPr>
            <w:pStyle w:val="TOC1"/>
            <w:tabs>
              <w:tab w:val="right" w:leader="dot" w:pos="9350"/>
            </w:tabs>
            <w:rPr>
              <w:noProof/>
              <w:kern w:val="2"/>
              <w:sz w:val="22"/>
              <w:szCs w:val="22"/>
              <w14:ligatures w14:val="standardContextual"/>
            </w:rPr>
          </w:pPr>
          <w:hyperlink w:anchor="_Toc209362174" w:history="1">
            <w:r w:rsidR="00245A3F" w:rsidRPr="00FC083D">
              <w:rPr>
                <w:rStyle w:val="Hyperlink"/>
                <w:noProof/>
              </w:rPr>
              <w:t>Përfundime dhe Rekomandime</w:t>
            </w:r>
            <w:r w:rsidR="00245A3F">
              <w:rPr>
                <w:noProof/>
                <w:webHidden/>
              </w:rPr>
              <w:tab/>
            </w:r>
            <w:r w:rsidR="00245A3F">
              <w:rPr>
                <w:noProof/>
                <w:webHidden/>
              </w:rPr>
              <w:fldChar w:fldCharType="begin"/>
            </w:r>
            <w:r w:rsidR="00245A3F">
              <w:rPr>
                <w:noProof/>
                <w:webHidden/>
              </w:rPr>
              <w:instrText xml:space="preserve"> PAGEREF _Toc209362174 \h </w:instrText>
            </w:r>
            <w:r w:rsidR="00245A3F">
              <w:rPr>
                <w:noProof/>
                <w:webHidden/>
              </w:rPr>
            </w:r>
            <w:r w:rsidR="00245A3F">
              <w:rPr>
                <w:noProof/>
                <w:webHidden/>
              </w:rPr>
              <w:fldChar w:fldCharType="separate"/>
            </w:r>
            <w:r w:rsidR="00245A3F">
              <w:rPr>
                <w:noProof/>
                <w:webHidden/>
              </w:rPr>
              <w:t>21</w:t>
            </w:r>
            <w:r w:rsidR="00245A3F">
              <w:rPr>
                <w:noProof/>
                <w:webHidden/>
              </w:rPr>
              <w:fldChar w:fldCharType="end"/>
            </w:r>
          </w:hyperlink>
        </w:p>
        <w:p w14:paraId="0E4341C7" w14:textId="71680A7B" w:rsidR="00BC1077" w:rsidRDefault="008E07A6" w:rsidP="00263B29">
          <w:r>
            <w:fldChar w:fldCharType="end"/>
          </w:r>
        </w:p>
      </w:sdtContent>
    </w:sdt>
    <w:bookmarkEnd w:id="0"/>
    <w:p w14:paraId="453F39B2" w14:textId="77777777" w:rsidR="00BC1077" w:rsidRDefault="008E07A6">
      <w:r>
        <w:br w:type="page"/>
      </w:r>
    </w:p>
    <w:p w14:paraId="259549AB" w14:textId="7D82436C" w:rsidR="00BC1077" w:rsidRPr="00245A3F" w:rsidRDefault="008E07A6" w:rsidP="00245A3F">
      <w:pPr>
        <w:pStyle w:val="Heading2"/>
        <w:shd w:val="clear" w:color="auto" w:fill="1F4E79" w:themeFill="accent5" w:themeFillShade="80"/>
        <w:divId w:val="760029527"/>
        <w:rPr>
          <w:rFonts w:ascii="Bahnschrift" w:eastAsia="Times New Roman" w:hAnsi="Bahnschrift"/>
          <w:color w:val="FFFFFF"/>
          <w:sz w:val="36"/>
          <w:szCs w:val="36"/>
        </w:rPr>
      </w:pPr>
      <w:bookmarkStart w:id="1" w:name="_Toc209362156"/>
      <w:r w:rsidRPr="00245A3F">
        <w:rPr>
          <w:rFonts w:ascii="Bahnschrift" w:eastAsia="Times New Roman" w:hAnsi="Bahnschrift"/>
          <w:color w:val="FFFFFF"/>
          <w:sz w:val="36"/>
          <w:szCs w:val="36"/>
        </w:rPr>
        <w:lastRenderedPageBreak/>
        <w:t xml:space="preserve">Fjalor </w:t>
      </w:r>
      <w:r w:rsidR="00263B29" w:rsidRPr="00245A3F">
        <w:rPr>
          <w:rFonts w:ascii="Bahnschrift" w:eastAsia="Times New Roman" w:hAnsi="Bahnschrift"/>
          <w:color w:val="FFFFFF"/>
          <w:sz w:val="36"/>
          <w:szCs w:val="36"/>
        </w:rPr>
        <w:t>S</w:t>
      </w:r>
      <w:r w:rsidRPr="00245A3F">
        <w:rPr>
          <w:rFonts w:ascii="Bahnschrift" w:eastAsia="Times New Roman" w:hAnsi="Bahnschrift"/>
          <w:color w:val="FFFFFF"/>
          <w:sz w:val="36"/>
          <w:szCs w:val="36"/>
        </w:rPr>
        <w:t>hpjegues</w:t>
      </w:r>
      <w:bookmarkEnd w:id="1"/>
    </w:p>
    <w:p w14:paraId="15EFADDA" w14:textId="140C037F" w:rsidR="00CF0D09" w:rsidRDefault="00CF0D09" w:rsidP="00CF0D0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Disagregim</w:t>
      </w:r>
    </w:p>
    <w:p w14:paraId="77270003" w14:textId="60C33FC9" w:rsidR="00CF0D09" w:rsidRPr="00AE6C93" w:rsidRDefault="00AE6C93" w:rsidP="00AE6C93">
      <w:pPr>
        <w:divId w:val="659895095"/>
        <w:rPr>
          <w:rFonts w:ascii="Bahnschrift" w:hAnsi="Bahnschrift"/>
          <w:sz w:val="22"/>
          <w:szCs w:val="22"/>
        </w:rPr>
      </w:pPr>
      <w:proofErr w:type="gramStart"/>
      <w:r w:rsidRPr="00AE6C93">
        <w:rPr>
          <w:rFonts w:ascii="Bahnschrift" w:hAnsi="Bahnschrift"/>
          <w:sz w:val="22"/>
          <w:szCs w:val="22"/>
        </w:rPr>
        <w:t>Është procesi i ndarjes së të dhënave sipas kategorive të veçanta (si gjinia, mosha, vendbanimi urban/rural, tipi i institucionit publik/privat etj.) me qëllim që të kuptohet më mirë shpërndarja dhe ndikimi i një shërbimi ose fenomeni.</w:t>
      </w:r>
      <w:proofErr w:type="gramEnd"/>
      <w:r w:rsidRPr="00AE6C93">
        <w:rPr>
          <w:rFonts w:ascii="Bahnschrift" w:hAnsi="Bahnschrift"/>
          <w:sz w:val="22"/>
          <w:szCs w:val="22"/>
        </w:rPr>
        <w:t xml:space="preserve"> </w:t>
      </w:r>
      <w:proofErr w:type="gramStart"/>
      <w:r w:rsidRPr="00AE6C93">
        <w:rPr>
          <w:rFonts w:ascii="Bahnschrift" w:hAnsi="Bahnschrift"/>
          <w:sz w:val="22"/>
          <w:szCs w:val="22"/>
        </w:rPr>
        <w:t>Disagregimi ndihmon për të evidentuar pabarazitë, për të krahasuar grupet e ndryshme dhe për të planifikuar politika apo ndërhyrje më të drejtuara dhe gjithëpërfshirëse.</w:t>
      </w:r>
      <w:proofErr w:type="gramEnd"/>
    </w:p>
    <w:p w14:paraId="14D406C6" w14:textId="26ED42C3" w:rsidR="00CF0D09" w:rsidRDefault="00CF0D09" w:rsidP="00CF0D0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Funksion</w:t>
      </w:r>
    </w:p>
    <w:p w14:paraId="51DEF346" w14:textId="7FF2DB44" w:rsidR="00CF0D09" w:rsidRPr="00245A3F" w:rsidRDefault="00CF0D09" w:rsidP="00CF0D09">
      <w:pPr>
        <w:divId w:val="659895095"/>
        <w:rPr>
          <w:rFonts w:ascii="Bahnschrift" w:hAnsi="Bahnschrift"/>
          <w:sz w:val="22"/>
          <w:szCs w:val="22"/>
        </w:rPr>
      </w:pPr>
      <w:r w:rsidRPr="00CF0D09">
        <w:rPr>
          <w:rFonts w:ascii="Bahnschrift" w:hAnsi="Bahnschrift"/>
          <w:sz w:val="22"/>
          <w:szCs w:val="22"/>
        </w:rPr>
        <w:t>Eshtë fusha e veprimtarisë, për të cilën njësia e vetëqeverisjes vendore është përgjegjëse dhe ka kompetencën ligjore për ta ushtruar lirisht, tërësisht apo në një pjesë të tij, në përputhje me ligjet dhe aktet nënligjore</w:t>
      </w:r>
    </w:p>
    <w:p w14:paraId="74E2B95D" w14:textId="7127AEE6" w:rsidR="00C45131"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Nën-Tregues</w:t>
      </w:r>
    </w:p>
    <w:p w14:paraId="4E871FB3" w14:textId="22D2AD7A" w:rsidR="00C45131" w:rsidRPr="00C45131" w:rsidRDefault="00C45131" w:rsidP="00C45131">
      <w:pPr>
        <w:divId w:val="659895095"/>
        <w:rPr>
          <w:rFonts w:ascii="Bahnschrift" w:hAnsi="Bahnschrift"/>
          <w:sz w:val="22"/>
          <w:szCs w:val="22"/>
        </w:rPr>
      </w:pPr>
      <w:proofErr w:type="gramStart"/>
      <w:r w:rsidRPr="00C45131">
        <w:rPr>
          <w:rFonts w:ascii="Bahnschrift" w:hAnsi="Bahnschrift"/>
          <w:sz w:val="22"/>
          <w:szCs w:val="22"/>
        </w:rPr>
        <w:t>Një nën-tregues është një element më i detajuar i një treguesi kryesor, që shërben për ta shpërbërë dhe matur më saktësisht një aspekt të veçantë të tij.</w:t>
      </w:r>
      <w:proofErr w:type="gramEnd"/>
      <w:r w:rsidRPr="00C45131">
        <w:rPr>
          <w:rFonts w:ascii="Bahnschrift" w:hAnsi="Bahnschrift"/>
          <w:sz w:val="22"/>
          <w:szCs w:val="22"/>
        </w:rPr>
        <w:t xml:space="preserve"> </w:t>
      </w:r>
      <w:proofErr w:type="gramStart"/>
      <w:r w:rsidRPr="00C45131">
        <w:rPr>
          <w:rFonts w:ascii="Bahnschrift" w:hAnsi="Bahnschrift"/>
          <w:sz w:val="22"/>
          <w:szCs w:val="22"/>
        </w:rPr>
        <w:t>Nën-treguesit ndihmojnë në kuptimin më të thelluar të performancës, duke dhënë informacion të ndarë sipas gjinive, zonave gjeografike, llojit të shërbimit (publik/privat) apo kritereve të tjera të disagregimit.</w:t>
      </w:r>
      <w:proofErr w:type="gramEnd"/>
    </w:p>
    <w:p w14:paraId="569AD4E9" w14:textId="702B0FC6" w:rsidR="00C45131" w:rsidRPr="00374E40"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Produkt </w:t>
      </w:r>
    </w:p>
    <w:p w14:paraId="0CE6C172" w14:textId="77777777" w:rsidR="00C45131" w:rsidRPr="00374E40" w:rsidRDefault="00C45131" w:rsidP="00C45131">
      <w:pPr>
        <w:pStyle w:val="NormalWeb"/>
        <w:jc w:val="both"/>
        <w:divId w:val="659895095"/>
        <w:rPr>
          <w:rFonts w:ascii="Bahnschrift" w:hAnsi="Bahnschrift"/>
          <w:sz w:val="22"/>
          <w:szCs w:val="22"/>
        </w:rPr>
      </w:pPr>
      <w:proofErr w:type="gramStart"/>
      <w:r w:rsidRPr="00374E40">
        <w:rPr>
          <w:rFonts w:ascii="Bahnschrift" w:hAnsi="Bahnschrift"/>
          <w:sz w:val="22"/>
          <w:szCs w:val="22"/>
        </w:rPr>
        <w:t>Një produkt i realizuar nga bashkia i referohet një të mire materiale ose shërbimi që ofrohet nga bashkia, e cila është përgjegjëse për ofrimin e shërbimit apo të mirës materiale.</w:t>
      </w:r>
      <w:proofErr w:type="gramEnd"/>
      <w:r w:rsidRPr="00374E40">
        <w:rPr>
          <w:rFonts w:ascii="Bahnschrift" w:hAnsi="Bahnschrift"/>
          <w:sz w:val="22"/>
          <w:szCs w:val="22"/>
        </w:rPr>
        <w:t xml:space="preserve"> </w:t>
      </w:r>
      <w:proofErr w:type="gramStart"/>
      <w:r w:rsidRPr="00374E40">
        <w:rPr>
          <w:rFonts w:ascii="Bahnschrift" w:hAnsi="Bahnschrift"/>
          <w:sz w:val="22"/>
          <w:szCs w:val="22"/>
        </w:rPr>
        <w:t>Bashkitë sipas ligjit janë përgjegjëse për ofrimin e një game të gjerë shërbimesh publike, si transporti, kanalizimi, furnizimi me ujë, menaxhimi i mbetjeve, shërbimet e mbrojtjes nga zjarri dhe asaj civile etj.</w:t>
      </w:r>
      <w:proofErr w:type="gramEnd"/>
    </w:p>
    <w:p w14:paraId="20CC77A2" w14:textId="6372D1CD" w:rsidR="00C45131"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Qeverisja e Mirë</w:t>
      </w:r>
    </w:p>
    <w:p w14:paraId="5BB4A082" w14:textId="7B11DE9C" w:rsidR="00C45131" w:rsidRDefault="00C45131" w:rsidP="00C45131">
      <w:pPr>
        <w:divId w:val="659895095"/>
        <w:rPr>
          <w:rFonts w:ascii="Bahnschrift" w:hAnsi="Bahnschrift"/>
          <w:sz w:val="22"/>
          <w:szCs w:val="22"/>
        </w:rPr>
      </w:pPr>
      <w:proofErr w:type="gramStart"/>
      <w:r w:rsidRPr="00C45131">
        <w:rPr>
          <w:rFonts w:ascii="Bahnschrift" w:hAnsi="Bahnschrift"/>
          <w:sz w:val="22"/>
          <w:szCs w:val="22"/>
        </w:rPr>
        <w:t>I referohet parimeve dhe praktikave që garantojnë funksionimin efikas, transparent, gjithëpërfshirës dhe të drejtë të një bashkie.</w:t>
      </w:r>
      <w:proofErr w:type="gramEnd"/>
      <w:r w:rsidRPr="00C45131">
        <w:rPr>
          <w:rFonts w:ascii="Bahnschrift" w:hAnsi="Bahnschrift"/>
          <w:sz w:val="22"/>
          <w:szCs w:val="22"/>
        </w:rPr>
        <w:t xml:space="preserve"> Në këtë kuadër përfshihen elementë si transparenca publike, barazia gjinore, integrimi në BE, pjesëmarrja qytetare, profesionalizmi i burimeve njerëzore dhe menaxhimi i qëndrueshëm financiar.</w:t>
      </w:r>
    </w:p>
    <w:p w14:paraId="67CF1433" w14:textId="1DD80DC6" w:rsidR="00C45131" w:rsidRPr="00374E40"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Sistemi i Matjes së Performancës</w:t>
      </w:r>
    </w:p>
    <w:p w14:paraId="0E46DD45" w14:textId="77777777" w:rsidR="00C45131" w:rsidRPr="00C45131" w:rsidRDefault="00C45131" w:rsidP="00C45131">
      <w:pPr>
        <w:spacing w:beforeAutospacing="1" w:after="100" w:afterAutospacing="1"/>
        <w:divId w:val="659895095"/>
        <w:rPr>
          <w:rFonts w:ascii="Bahnschrift" w:hAnsi="Bahnschrift"/>
          <w:sz w:val="22"/>
          <w:szCs w:val="22"/>
        </w:rPr>
      </w:pPr>
      <w:proofErr w:type="gramStart"/>
      <w:r w:rsidRPr="00C45131">
        <w:rPr>
          <w:rFonts w:ascii="Bahnschrift" w:hAnsi="Bahnschrift"/>
          <w:sz w:val="22"/>
          <w:szCs w:val="22"/>
        </w:rPr>
        <w:t>Është mekanizmi kombëtar dhe vendor për mbledhjen, përpunimin dhe analizimin e të dhënave mbi ofrimin e shërbimeve nga bashkitë.</w:t>
      </w:r>
      <w:proofErr w:type="gramEnd"/>
      <w:r w:rsidRPr="00C45131">
        <w:rPr>
          <w:rFonts w:ascii="Bahnschrift" w:hAnsi="Bahnschrift"/>
          <w:sz w:val="22"/>
          <w:szCs w:val="22"/>
        </w:rPr>
        <w:t xml:space="preserve"> </w:t>
      </w:r>
      <w:proofErr w:type="gramStart"/>
      <w:r w:rsidRPr="00C45131">
        <w:rPr>
          <w:rFonts w:ascii="Bahnschrift" w:hAnsi="Bahnschrift"/>
          <w:sz w:val="22"/>
          <w:szCs w:val="22"/>
        </w:rPr>
        <w:t>Ky</w:t>
      </w:r>
      <w:proofErr w:type="gramEnd"/>
      <w:r w:rsidRPr="00C45131">
        <w:rPr>
          <w:rFonts w:ascii="Bahnschrift" w:hAnsi="Bahnschrift"/>
          <w:sz w:val="22"/>
          <w:szCs w:val="22"/>
        </w:rPr>
        <w:t xml:space="preserve"> sistem përfshin një grup treguesish dhe nën-treguesish të standardizuar, që përdoren për të krahasuar performancën e bashkive, për të </w:t>
      </w:r>
      <w:r w:rsidRPr="00C45131">
        <w:rPr>
          <w:rFonts w:ascii="Bahnschrift" w:hAnsi="Bahnschrift"/>
          <w:sz w:val="22"/>
          <w:szCs w:val="22"/>
        </w:rPr>
        <w:lastRenderedPageBreak/>
        <w:t>rritur transparencën, llogaridhënien dhe për të mbështetur vendimmarrjen e bazuar në evidencë.</w:t>
      </w:r>
    </w:p>
    <w:p w14:paraId="4FA35364" w14:textId="77777777" w:rsidR="00C45131" w:rsidRPr="00C45131" w:rsidRDefault="00C45131" w:rsidP="00C45131">
      <w:pPr>
        <w:spacing w:beforeAutospacing="1" w:after="100" w:afterAutospacing="1"/>
        <w:divId w:val="659895095"/>
        <w:rPr>
          <w:rFonts w:ascii="Bahnschrift" w:hAnsi="Bahnschrift"/>
          <w:sz w:val="22"/>
          <w:szCs w:val="22"/>
        </w:rPr>
      </w:pPr>
      <w:proofErr w:type="gramStart"/>
      <w:r w:rsidRPr="00C45131">
        <w:rPr>
          <w:rFonts w:ascii="Bahnschrift" w:hAnsi="Bahnschrift"/>
          <w:sz w:val="22"/>
          <w:szCs w:val="22"/>
        </w:rPr>
        <w:t>Bazuar në Ligjin nr.</w:t>
      </w:r>
      <w:proofErr w:type="gramEnd"/>
      <w:r w:rsidRPr="00C45131">
        <w:rPr>
          <w:rFonts w:ascii="Bahnschrift" w:hAnsi="Bahnschrift"/>
          <w:sz w:val="22"/>
          <w:szCs w:val="22"/>
        </w:rPr>
        <w:t xml:space="preserve"> </w:t>
      </w:r>
      <w:proofErr w:type="gramStart"/>
      <w:r w:rsidRPr="00C45131">
        <w:rPr>
          <w:rFonts w:ascii="Bahnschrift" w:hAnsi="Bahnschrift"/>
          <w:sz w:val="22"/>
          <w:szCs w:val="22"/>
        </w:rPr>
        <w:t>139/2015 “Për vetëqeverisjen vendore”, neni 33, çdo bashki është e detyruar të krijojë një sistem të brendshëm matjeje dhe raportimi mbi performancën e saj, në lidhje me ofrimin e shërbimeve publike, përdorimin e burimeve dhe realizimin e objektivave.</w:t>
      </w:r>
      <w:proofErr w:type="gramEnd"/>
      <w:r w:rsidRPr="00C45131">
        <w:rPr>
          <w:rFonts w:ascii="Bahnschrift" w:hAnsi="Bahnschrift"/>
          <w:sz w:val="22"/>
          <w:szCs w:val="22"/>
        </w:rPr>
        <w:t xml:space="preserve"> </w:t>
      </w:r>
      <w:proofErr w:type="gramStart"/>
      <w:r w:rsidRPr="00C45131">
        <w:rPr>
          <w:rFonts w:ascii="Bahnschrift" w:hAnsi="Bahnschrift"/>
          <w:sz w:val="22"/>
          <w:szCs w:val="22"/>
        </w:rPr>
        <w:t>Ky</w:t>
      </w:r>
      <w:proofErr w:type="gramEnd"/>
      <w:r w:rsidRPr="00C45131">
        <w:rPr>
          <w:rFonts w:ascii="Bahnschrift" w:hAnsi="Bahnschrift"/>
          <w:sz w:val="22"/>
          <w:szCs w:val="22"/>
        </w:rPr>
        <w:t xml:space="preserve"> sistem vendor lidhet ngushtë me sistemin kombëtar, duke mundësuar harmonizimin e të dhënave dhe krahasimin mes njësive të vetëqeverisjes vendore.</w:t>
      </w:r>
    </w:p>
    <w:p w14:paraId="6EE75052" w14:textId="77777777" w:rsidR="00C45131" w:rsidRPr="00374E40"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Sherbime Publike Vendore</w:t>
      </w:r>
    </w:p>
    <w:p w14:paraId="3B015964" w14:textId="6C272D8D" w:rsidR="00C45131" w:rsidRPr="00C45131" w:rsidRDefault="00C45131" w:rsidP="00C45131">
      <w:pPr>
        <w:divId w:val="659895095"/>
        <w:rPr>
          <w:rFonts w:ascii="Bahnschrift" w:hAnsi="Bahnschrift"/>
          <w:sz w:val="22"/>
          <w:szCs w:val="22"/>
        </w:rPr>
      </w:pPr>
      <w:proofErr w:type="gramStart"/>
      <w:r w:rsidRPr="00C45131">
        <w:rPr>
          <w:rFonts w:ascii="Bahnschrift" w:hAnsi="Bahnschrift"/>
          <w:sz w:val="22"/>
          <w:szCs w:val="22"/>
        </w:rPr>
        <w:t>Janë shërbimet që ofrohen nga bashkia për komunitetin, në përputhje me funksionet e përcaktuara nga ligji nr.</w:t>
      </w:r>
      <w:proofErr w:type="gramEnd"/>
      <w:r w:rsidRPr="00C45131">
        <w:rPr>
          <w:rFonts w:ascii="Bahnschrift" w:hAnsi="Bahnschrift"/>
          <w:sz w:val="22"/>
          <w:szCs w:val="22"/>
        </w:rPr>
        <w:t xml:space="preserve"> </w:t>
      </w:r>
      <w:proofErr w:type="gramStart"/>
      <w:r w:rsidRPr="00C45131">
        <w:rPr>
          <w:rFonts w:ascii="Bahnschrift" w:hAnsi="Bahnschrift"/>
          <w:sz w:val="22"/>
          <w:szCs w:val="22"/>
        </w:rPr>
        <w:t>139/2015 “Për vetëqeverisjen vendore”.</w:t>
      </w:r>
      <w:proofErr w:type="gramEnd"/>
      <w:r w:rsidRPr="00C45131">
        <w:rPr>
          <w:rFonts w:ascii="Bahnschrift" w:hAnsi="Bahnschrift"/>
          <w:sz w:val="22"/>
          <w:szCs w:val="22"/>
        </w:rPr>
        <w:t xml:space="preserve"> Këto përfshijnë, ndër të tjera</w:t>
      </w:r>
      <w:proofErr w:type="gramStart"/>
      <w:r w:rsidRPr="00C45131">
        <w:rPr>
          <w:rFonts w:ascii="Bahnschrift" w:hAnsi="Bahnschrift"/>
          <w:sz w:val="22"/>
          <w:szCs w:val="22"/>
        </w:rPr>
        <w:t>, ,</w:t>
      </w:r>
      <w:proofErr w:type="gramEnd"/>
      <w:r w:rsidRPr="00C45131">
        <w:rPr>
          <w:rFonts w:ascii="Bahnschrift" w:hAnsi="Bahnschrift"/>
          <w:sz w:val="22"/>
          <w:szCs w:val="22"/>
        </w:rPr>
        <w:t xml:space="preserve"> ndriçimin publik, arsimin para</w:t>
      </w:r>
      <w:r w:rsidR="00CF0D09">
        <w:rPr>
          <w:rFonts w:ascii="Bahnschrift" w:hAnsi="Bahnschrift"/>
          <w:sz w:val="22"/>
          <w:szCs w:val="22"/>
        </w:rPr>
        <w:t>shkollor dhe cerdhet</w:t>
      </w:r>
      <w:r w:rsidRPr="00C45131">
        <w:rPr>
          <w:rFonts w:ascii="Bahnschrift" w:hAnsi="Bahnschrift"/>
          <w:sz w:val="22"/>
          <w:szCs w:val="22"/>
        </w:rPr>
        <w:t xml:space="preserve">, mbrojtjen sociale, menaxhimin e mbetjeve, pyjeve e kullotave dhe </w:t>
      </w:r>
      <w:r w:rsidR="00CF0D09">
        <w:rPr>
          <w:rFonts w:ascii="Bahnschrift" w:hAnsi="Bahnschrift"/>
          <w:sz w:val="22"/>
          <w:szCs w:val="22"/>
        </w:rPr>
        <w:t>ujitjen dhe kullimin etj</w:t>
      </w:r>
      <w:r w:rsidRPr="00C45131">
        <w:rPr>
          <w:rFonts w:ascii="Bahnschrift" w:hAnsi="Bahnschrift"/>
          <w:sz w:val="22"/>
          <w:szCs w:val="22"/>
        </w:rPr>
        <w:t>.</w:t>
      </w:r>
      <w:r w:rsidR="00CF0D09">
        <w:rPr>
          <w:rFonts w:ascii="Bahnschrift" w:hAnsi="Bahnschrift"/>
          <w:sz w:val="22"/>
          <w:szCs w:val="22"/>
        </w:rPr>
        <w:t xml:space="preserve"> Sipas perkufizimit the ligjit “</w:t>
      </w:r>
      <w:r w:rsidR="00CF0D09" w:rsidRPr="00CF0D09">
        <w:rPr>
          <w:rFonts w:ascii="Bahnschrift" w:hAnsi="Bahnschrift"/>
          <w:sz w:val="22"/>
          <w:szCs w:val="22"/>
        </w:rPr>
        <w:t>janë ato shërbime me interes të përgjithshëm publik, të cilat ofrohen për komunitetin nga bashkitë, në mënyrë të vazhdueshme, me çmime të përballueshme, sipas standardeve minimale kombëtare, të përcaktuara me ligj apo me akte të tjera normative</w:t>
      </w:r>
      <w:r w:rsidR="00CF0D09">
        <w:rPr>
          <w:rFonts w:ascii="Bahnschrift" w:hAnsi="Bahnschrift"/>
          <w:sz w:val="22"/>
          <w:szCs w:val="22"/>
        </w:rPr>
        <w:t>’</w:t>
      </w:r>
    </w:p>
    <w:p w14:paraId="750826A8" w14:textId="77777777" w:rsidR="00C45131" w:rsidRPr="00374E40" w:rsidRDefault="00C45131" w:rsidP="00C45131">
      <w:pPr>
        <w:divId w:val="659895095"/>
        <w:rPr>
          <w:rFonts w:eastAsia="Times New Roman"/>
        </w:rPr>
      </w:pPr>
    </w:p>
    <w:p w14:paraId="74040FE3" w14:textId="3F7BDFFF" w:rsidR="00D2627D" w:rsidRPr="00374E40" w:rsidRDefault="00C45131" w:rsidP="00462B7A">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T</w:t>
      </w:r>
      <w:r w:rsidR="006222BE" w:rsidRPr="00374E40">
        <w:rPr>
          <w:rFonts w:ascii="Bahnschrift" w:eastAsia="Times New Roman" w:hAnsi="Bahnschrift"/>
          <w:b/>
          <w:bCs/>
          <w:sz w:val="22"/>
          <w:szCs w:val="22"/>
        </w:rPr>
        <w:t>regues</w:t>
      </w:r>
      <w:r w:rsidR="00D2627D" w:rsidRPr="00374E40">
        <w:rPr>
          <w:rFonts w:ascii="Bahnschrift" w:eastAsia="Times New Roman" w:hAnsi="Bahnschrift"/>
          <w:b/>
          <w:bCs/>
          <w:sz w:val="22"/>
          <w:szCs w:val="22"/>
        </w:rPr>
        <w:t xml:space="preserve"> performance</w:t>
      </w:r>
    </w:p>
    <w:p w14:paraId="594FCF7D" w14:textId="161FF683" w:rsidR="00DF6179" w:rsidRPr="00374E40" w:rsidRDefault="006222BE" w:rsidP="006222BE">
      <w:pPr>
        <w:pStyle w:val="NormalWeb"/>
        <w:contextualSpacing/>
        <w:jc w:val="both"/>
        <w:divId w:val="659895095"/>
        <w:rPr>
          <w:rFonts w:ascii="Bahnschrift" w:hAnsi="Bahnschrift"/>
          <w:sz w:val="22"/>
          <w:szCs w:val="22"/>
        </w:rPr>
      </w:pPr>
      <w:proofErr w:type="gramStart"/>
      <w:r w:rsidRPr="00374E40">
        <w:rPr>
          <w:rFonts w:ascii="Bahnschrift" w:hAnsi="Bahnschrift"/>
          <w:sz w:val="22"/>
          <w:szCs w:val="22"/>
        </w:rPr>
        <w:t>Një tregues i performancës është një matje që përdoret për të vlerësuar suksesin ose përparimin e një procesi.</w:t>
      </w:r>
      <w:proofErr w:type="gramEnd"/>
      <w:r w:rsidRPr="00374E40">
        <w:rPr>
          <w:rFonts w:ascii="Bahnschrift" w:hAnsi="Bahnschrift"/>
          <w:sz w:val="22"/>
          <w:szCs w:val="22"/>
        </w:rPr>
        <w:t xml:space="preserve"> </w:t>
      </w:r>
      <w:proofErr w:type="gramStart"/>
      <w:r w:rsidRPr="00374E40">
        <w:rPr>
          <w:rFonts w:ascii="Bahnschrift" w:hAnsi="Bahnschrift"/>
          <w:sz w:val="22"/>
          <w:szCs w:val="22"/>
        </w:rPr>
        <w:t>Mund të përdoret për të gjurmuar arritjet kryesore të performancës, të tilla si performanca financiare, kënaqësia e klientit, produktiviteti i punonjësve ose efikasiteti operacional, ose buxhetor / financiar dhe për të përcaktuar nëse synimet ose objektivat po përmbushen.</w:t>
      </w:r>
      <w:proofErr w:type="gramEnd"/>
      <w:r w:rsidRPr="00374E40">
        <w:rPr>
          <w:rFonts w:ascii="Bahnschrift" w:hAnsi="Bahnschrift"/>
          <w:sz w:val="22"/>
          <w:szCs w:val="22"/>
        </w:rPr>
        <w:t xml:space="preserve"> Treguesit e performancës përdoren shpesh në sektorin privat por edhe ate publik dhe organizata të tjera për të ndihmuar menaxherët të marrin vendime të informuara, të identifikojnë fushat e përmirësimit dhe të ma</w:t>
      </w:r>
      <w:r w:rsidR="008E07A6" w:rsidRPr="00374E40">
        <w:rPr>
          <w:rFonts w:ascii="Bahnschrift" w:hAnsi="Bahnschrift"/>
          <w:sz w:val="22"/>
          <w:szCs w:val="22"/>
        </w:rPr>
        <w:t>sin performancën e përgjithshme t</w:t>
      </w:r>
      <w:r w:rsidR="004915AB">
        <w:rPr>
          <w:rFonts w:ascii="Bahnschrift" w:hAnsi="Bahnschrift"/>
          <w:sz w:val="22"/>
          <w:szCs w:val="22"/>
        </w:rPr>
        <w:t>ë</w:t>
      </w:r>
      <w:r w:rsidR="008E07A6" w:rsidRPr="00374E40">
        <w:rPr>
          <w:rFonts w:ascii="Bahnschrift" w:hAnsi="Bahnschrift"/>
          <w:sz w:val="22"/>
          <w:szCs w:val="22"/>
        </w:rPr>
        <w:t xml:space="preserve"> bashkis</w:t>
      </w:r>
      <w:r w:rsidR="004915AB">
        <w:rPr>
          <w:rFonts w:ascii="Bahnschrift" w:hAnsi="Bahnschrift"/>
          <w:sz w:val="22"/>
          <w:szCs w:val="22"/>
        </w:rPr>
        <w:t>ë</w:t>
      </w:r>
      <w:r w:rsidR="008E07A6" w:rsidRPr="00374E40">
        <w:rPr>
          <w:rFonts w:ascii="Bahnschrift" w:hAnsi="Bahnschrift"/>
          <w:sz w:val="22"/>
          <w:szCs w:val="22"/>
        </w:rPr>
        <w:t>.</w:t>
      </w:r>
    </w:p>
    <w:p w14:paraId="74453134" w14:textId="12105DCB" w:rsidR="00DF6179" w:rsidRPr="00374E40" w:rsidRDefault="00DF6179" w:rsidP="00DF617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T</w:t>
      </w:r>
      <w:r w:rsidR="00C45131">
        <w:rPr>
          <w:rFonts w:ascii="Bahnschrift" w:eastAsia="Times New Roman" w:hAnsi="Bahnschrift"/>
          <w:b/>
          <w:bCs/>
          <w:sz w:val="22"/>
          <w:szCs w:val="22"/>
        </w:rPr>
        <w:t>ë</w:t>
      </w:r>
      <w:r>
        <w:rPr>
          <w:rFonts w:ascii="Bahnschrift" w:eastAsia="Times New Roman" w:hAnsi="Bahnschrift"/>
          <w:b/>
          <w:bCs/>
          <w:sz w:val="22"/>
          <w:szCs w:val="22"/>
        </w:rPr>
        <w:t xml:space="preserve"> Dh</w:t>
      </w:r>
      <w:r w:rsidR="00C45131">
        <w:rPr>
          <w:rFonts w:ascii="Bahnschrift" w:eastAsia="Times New Roman" w:hAnsi="Bahnschrift"/>
          <w:b/>
          <w:bCs/>
          <w:sz w:val="22"/>
          <w:szCs w:val="22"/>
        </w:rPr>
        <w:t>ë</w:t>
      </w:r>
      <w:r>
        <w:rPr>
          <w:rFonts w:ascii="Bahnschrift" w:eastAsia="Times New Roman" w:hAnsi="Bahnschrift"/>
          <w:b/>
          <w:bCs/>
          <w:sz w:val="22"/>
          <w:szCs w:val="22"/>
        </w:rPr>
        <w:t>na</w:t>
      </w:r>
    </w:p>
    <w:p w14:paraId="65C35B74" w14:textId="3C4576C7" w:rsidR="00D2627D" w:rsidRPr="00C45131" w:rsidRDefault="00C45131">
      <w:pPr>
        <w:divId w:val="659895095"/>
        <w:rPr>
          <w:rFonts w:ascii="Bahnschrift" w:hAnsi="Bahnschrift"/>
          <w:sz w:val="22"/>
          <w:szCs w:val="22"/>
        </w:rPr>
      </w:pPr>
      <w:proofErr w:type="gramStart"/>
      <w:r w:rsidRPr="00C45131">
        <w:rPr>
          <w:rFonts w:ascii="Bahnschrift" w:hAnsi="Bahnschrift"/>
          <w:sz w:val="22"/>
          <w:szCs w:val="22"/>
        </w:rPr>
        <w:t>Janë informacionet e mbledhura nga burime zyrtare të bashkisë ose institucione të tjera, që shërbejnë si bazë për llogaritjen e treguesve të performancës.</w:t>
      </w:r>
      <w:proofErr w:type="gramEnd"/>
      <w:r w:rsidRPr="00C45131">
        <w:rPr>
          <w:rFonts w:ascii="Bahnschrift" w:hAnsi="Bahnschrift"/>
          <w:sz w:val="22"/>
          <w:szCs w:val="22"/>
        </w:rPr>
        <w:t xml:space="preserve"> </w:t>
      </w:r>
      <w:proofErr w:type="gramStart"/>
      <w:r w:rsidRPr="00C45131">
        <w:rPr>
          <w:rFonts w:ascii="Bahnschrift" w:hAnsi="Bahnschrift"/>
          <w:sz w:val="22"/>
          <w:szCs w:val="22"/>
        </w:rPr>
        <w:t>Të dhënat mund të jenë numerike (statistika mbi popullsinë, buxhetin, shkollat etj.) ose cilësore (planifikime, raporte, dokumente strategjike) dhe janë të domosdoshme për analizën dhe raportimin e performancës.</w:t>
      </w:r>
      <w:proofErr w:type="gramEnd"/>
    </w:p>
    <w:p w14:paraId="32189627" w14:textId="77777777" w:rsidR="00DF6179" w:rsidRDefault="00DF6179">
      <w:pPr>
        <w:divId w:val="659895095"/>
        <w:rPr>
          <w:rFonts w:ascii="Bahnschrift" w:eastAsia="Times New Roman" w:hAnsi="Bahnschrift"/>
          <w:b/>
          <w:bCs/>
          <w:sz w:val="22"/>
          <w:szCs w:val="22"/>
        </w:rPr>
      </w:pPr>
    </w:p>
    <w:p w14:paraId="01E5D87F" w14:textId="77777777" w:rsidR="002E3B7B" w:rsidRPr="00374E40" w:rsidRDefault="002E3B7B">
      <w:pPr>
        <w:divId w:val="659895095"/>
        <w:rPr>
          <w:rFonts w:ascii="Bahnschrift" w:eastAsia="Times New Roman" w:hAnsi="Bahnschrift"/>
          <w:b/>
          <w:bCs/>
          <w:sz w:val="22"/>
          <w:szCs w:val="22"/>
        </w:rPr>
      </w:pPr>
    </w:p>
    <w:p w14:paraId="21C30A66"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lastRenderedPageBreak/>
        <w:t xml:space="preserve">Taksat e ndara </w:t>
      </w:r>
    </w:p>
    <w:p w14:paraId="5929AF7E" w14:textId="5590741B"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taksa kombëtare që mblidhen nga qeveria qendrore dhe ndahen plotësisht ose pjesërisht me bashkitë</w:t>
      </w:r>
    </w:p>
    <w:p w14:paraId="2B648FEE"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Taksat vendore </w:t>
      </w:r>
    </w:p>
    <w:p w14:paraId="077F8A80" w14:textId="695CE25A"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detyrime fiskale të bashkisë të cilat paguhet sipas parashikimeve ligjore dhe përcaktimeve të Këshillit Bashkiak</w:t>
      </w:r>
    </w:p>
    <w:p w14:paraId="38C6141D"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Tarifat vendore </w:t>
      </w:r>
    </w:p>
    <w:p w14:paraId="32AE2571" w14:textId="67CCD9A2"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detyrime që individët apo bizneset paguajnë kundrejt marrjes së një shërbimi të ofruar nga bashkia</w:t>
      </w:r>
    </w:p>
    <w:p w14:paraId="5859CB76"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Transfertat e kushtëzuara </w:t>
      </w:r>
    </w:p>
    <w:p w14:paraId="57553628" w14:textId="133AF871" w:rsidR="00BC1077" w:rsidRPr="00BD74CF" w:rsidRDefault="008E07A6" w:rsidP="00C45131">
      <w:pPr>
        <w:divId w:val="659895095"/>
        <w:rPr>
          <w:rFonts w:ascii="Bahnschrift" w:eastAsia="Times New Roman" w:hAnsi="Bahnschrift"/>
          <w:b/>
          <w:bCs/>
          <w:sz w:val="22"/>
          <w:szCs w:val="22"/>
        </w:rPr>
      </w:pPr>
      <w:r w:rsidRPr="00BD74CF">
        <w:rPr>
          <w:rFonts w:ascii="Bahnschrift" w:hAnsi="Bahnschrift"/>
          <w:sz w:val="22"/>
          <w:szCs w:val="22"/>
        </w:rPr>
        <w:t>Janë fonde që Qeveria Qendrore (buxheti i shtetit) i jep bashkisë për t’u përdorur vetëm për projekte të veçanta apo funksione të deleguara të bashkisë</w:t>
      </w:r>
    </w:p>
    <w:p w14:paraId="48EB341F"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Transfertat e pakushtëzuara </w:t>
      </w:r>
    </w:p>
    <w:p w14:paraId="00F435C2" w14:textId="2CA4CA22"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fonde që Qeveria Qendrore (buxheti shtetit) i jep bashkisë për t’u përdorur pa kushte, pa interes dhe pa të drejtë kthimi</w:t>
      </w:r>
    </w:p>
    <w:p w14:paraId="72A99B0B" w14:textId="77777777" w:rsidR="00C45131" w:rsidRDefault="006F55FE"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Transferta e pakushtëzuar sektoriale</w:t>
      </w:r>
      <w:r w:rsidR="008E07A6" w:rsidRPr="00374E40">
        <w:rPr>
          <w:rFonts w:ascii="Bahnschrift" w:eastAsia="Times New Roman" w:hAnsi="Bahnschrift"/>
          <w:b/>
          <w:bCs/>
          <w:sz w:val="22"/>
          <w:szCs w:val="22"/>
        </w:rPr>
        <w:t xml:space="preserve"> </w:t>
      </w:r>
    </w:p>
    <w:p w14:paraId="421E9474" w14:textId="7C1CA9C3"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fonde që Qeveria Qendrore (buxheti i shtetit) i jep bashkisë me kushtin për t’u përdorur vetëm për funksione specifike që bashkia i ka marrë nga Qeveria me ligj të veçantë</w:t>
      </w:r>
    </w:p>
    <w:p w14:paraId="18F69B88" w14:textId="77777777" w:rsidR="00AE6C93" w:rsidRDefault="008E07A6" w:rsidP="00CF0D0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Trashëgimi nga viti i kaluar </w:t>
      </w:r>
    </w:p>
    <w:p w14:paraId="59A23410" w14:textId="1E074BE0" w:rsidR="00BC1077" w:rsidRPr="00AE6C93" w:rsidRDefault="008E07A6" w:rsidP="00AE6C93">
      <w:pPr>
        <w:divId w:val="659895095"/>
        <w:rPr>
          <w:rFonts w:ascii="Bahnschrift" w:hAnsi="Bahnschrift"/>
          <w:sz w:val="22"/>
          <w:szCs w:val="22"/>
        </w:rPr>
      </w:pPr>
      <w:proofErr w:type="gramStart"/>
      <w:r w:rsidRPr="00AE6C93">
        <w:rPr>
          <w:rFonts w:ascii="Bahnschrift" w:hAnsi="Bahnschrift"/>
          <w:sz w:val="22"/>
          <w:szCs w:val="22"/>
        </w:rPr>
        <w:t>Janë fonde buxhetore të bashkisë të cilat nuk janë shpenzuar në mbyllje të vitit buxhetor të kaluar dhe mund të përdoren në vitin korent buxhetor.</w:t>
      </w:r>
      <w:proofErr w:type="gramEnd"/>
      <w:r w:rsidRPr="00AE6C93">
        <w:rPr>
          <w:rFonts w:ascii="Bahnschrift" w:hAnsi="Bahnschrift"/>
          <w:sz w:val="22"/>
          <w:szCs w:val="22"/>
        </w:rPr>
        <w:t xml:space="preserve"> </w:t>
      </w:r>
      <w:proofErr w:type="gramStart"/>
      <w:r w:rsidRPr="00AE6C93">
        <w:rPr>
          <w:rFonts w:ascii="Bahnschrift" w:hAnsi="Bahnschrift"/>
          <w:sz w:val="22"/>
          <w:szCs w:val="22"/>
        </w:rPr>
        <w:t>Ato mund të jenë me destinacion dhe pa destinacion.</w:t>
      </w:r>
      <w:proofErr w:type="gramEnd"/>
      <w:r w:rsidRPr="00AE6C93">
        <w:rPr>
          <w:rFonts w:ascii="Bahnschrift" w:hAnsi="Bahnschrift"/>
          <w:sz w:val="22"/>
          <w:szCs w:val="22"/>
        </w:rPr>
        <w:t xml:space="preserve"> </w:t>
      </w:r>
      <w:proofErr w:type="gramStart"/>
      <w:r w:rsidRPr="00AE6C93">
        <w:rPr>
          <w:rFonts w:ascii="Bahnschrift" w:hAnsi="Bahnschrift"/>
          <w:sz w:val="22"/>
          <w:szCs w:val="22"/>
        </w:rPr>
        <w:t>Varësisht nga kjo ato mund të përdoren gjatë vitit korent me destinacion të përcaktuar (për ato projekte apo zëra buxhetor specifik për të cilat janë angazhuar gjatë vitit të kaluar por nuk kanë arritur të shpenzohen) apo pa destinacion (për cfarëdo zë apo projekt).</w:t>
      </w:r>
      <w:proofErr w:type="gramEnd"/>
    </w:p>
    <w:p w14:paraId="6FC948A3" w14:textId="77777777" w:rsidR="00AE6C93" w:rsidRDefault="00AE6C93" w:rsidP="00AE6C93">
      <w:pPr>
        <w:divId w:val="659895095"/>
      </w:pPr>
    </w:p>
    <w:p w14:paraId="0A02B898" w14:textId="77777777" w:rsidR="00043BCB" w:rsidRDefault="00043BCB" w:rsidP="00AE6C93">
      <w:pPr>
        <w:divId w:val="659895095"/>
      </w:pPr>
    </w:p>
    <w:p w14:paraId="634EEF3F" w14:textId="77777777" w:rsidR="00043BCB" w:rsidRDefault="00043BCB" w:rsidP="00AE6C93">
      <w:pPr>
        <w:divId w:val="659895095"/>
      </w:pPr>
    </w:p>
    <w:p w14:paraId="7061903F" w14:textId="77777777" w:rsidR="00AE6C93" w:rsidRDefault="00AE6C93" w:rsidP="00AE6C93">
      <w:pPr>
        <w:divId w:val="659895095"/>
        <w:rPr>
          <w:rFonts w:eastAsia="Times New Roman"/>
          <w:b/>
          <w:bCs/>
        </w:rPr>
      </w:pPr>
    </w:p>
    <w:p w14:paraId="32623B3A" w14:textId="77777777" w:rsidR="00303EDF" w:rsidRPr="004F396C" w:rsidRDefault="00303EDF" w:rsidP="00303EDF">
      <w:pPr>
        <w:divId w:val="659895095"/>
        <w:rPr>
          <w:rFonts w:ascii="Bahnschrift" w:eastAsia="Times New Roman" w:hAnsi="Bahnschrift"/>
          <w:b/>
          <w:bCs/>
          <w:sz w:val="22"/>
          <w:szCs w:val="22"/>
          <w:lang w:val="sq-AL"/>
        </w:rPr>
      </w:pPr>
      <w:r w:rsidRPr="004F396C">
        <w:rPr>
          <w:rFonts w:ascii="Bahnschrift" w:eastAsia="Times New Roman" w:hAnsi="Bahnschrift"/>
          <w:b/>
          <w:bCs/>
          <w:sz w:val="22"/>
          <w:szCs w:val="22"/>
          <w:lang w:val="sq-AL"/>
        </w:rPr>
        <w:lastRenderedPageBreak/>
        <w:t>Si të lexojmë tabelën e performancës</w:t>
      </w:r>
    </w:p>
    <w:p w14:paraId="7D86F137" w14:textId="77777777" w:rsidR="00303EDF" w:rsidRPr="004F396C" w:rsidRDefault="00303EDF" w:rsidP="00303EDF">
      <w:pPr>
        <w:divId w:val="659895095"/>
        <w:rPr>
          <w:rFonts w:ascii="Bahnschrift" w:hAnsi="Bahnschrift"/>
          <w:sz w:val="22"/>
          <w:szCs w:val="22"/>
          <w:lang w:val="sq-AL"/>
        </w:rPr>
      </w:pPr>
      <w:r w:rsidRPr="004F396C">
        <w:rPr>
          <w:rFonts w:ascii="Bahnschrift" w:hAnsi="Bahnschrift"/>
          <w:sz w:val="22"/>
          <w:szCs w:val="22"/>
          <w:lang w:val="sq-AL"/>
        </w:rPr>
        <w:t>Tabelat e treguesve ne cdo fushe paraqesin ecurinë e treguesve të performancës për secilën fushë funksionale. Për çdo tregues jepen vlerat për dy vite, ndryshimi ndërvite, trendi, dhe semafori, të cilat ndihmojnë në interpretimin e rezultateve.</w:t>
      </w:r>
    </w:p>
    <w:tbl>
      <w:tblPr>
        <w:tblW w:w="0" w:type="auto"/>
        <w:tblLook w:val="04A0" w:firstRow="1" w:lastRow="0" w:firstColumn="1" w:lastColumn="0" w:noHBand="0" w:noVBand="1"/>
      </w:tblPr>
      <w:tblGrid>
        <w:gridCol w:w="2988"/>
        <w:gridCol w:w="5652"/>
      </w:tblGrid>
      <w:tr w:rsidR="00303EDF" w:rsidRPr="004F396C" w14:paraId="258A8D60" w14:textId="77777777" w:rsidTr="00303EDF">
        <w:trPr>
          <w:divId w:val="659895095"/>
        </w:trPr>
        <w:tc>
          <w:tcPr>
            <w:tcW w:w="2988" w:type="dxa"/>
          </w:tcPr>
          <w:p w14:paraId="3CE0C052"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Kolona</w:t>
            </w:r>
          </w:p>
        </w:tc>
        <w:tc>
          <w:tcPr>
            <w:tcW w:w="5652" w:type="dxa"/>
          </w:tcPr>
          <w:p w14:paraId="153ECEA7"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Përshkrimi</w:t>
            </w:r>
          </w:p>
        </w:tc>
      </w:tr>
      <w:tr w:rsidR="00303EDF" w:rsidRPr="004F396C" w14:paraId="62F65CD2" w14:textId="77777777" w:rsidTr="00303EDF">
        <w:trPr>
          <w:divId w:val="659895095"/>
        </w:trPr>
        <w:tc>
          <w:tcPr>
            <w:tcW w:w="2988" w:type="dxa"/>
          </w:tcPr>
          <w:p w14:paraId="4F5E51E6"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Treguesi</w:t>
            </w:r>
          </w:p>
        </w:tc>
        <w:tc>
          <w:tcPr>
            <w:tcW w:w="5652" w:type="dxa"/>
          </w:tcPr>
          <w:p w14:paraId="7078BCF8"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Emri i treguesit që mat një aspekt të caktuar të performancës (p.sh. “Përqindja e konsultimeve publike të zhvilluara”).</w:t>
            </w:r>
          </w:p>
        </w:tc>
      </w:tr>
      <w:tr w:rsidR="00303EDF" w:rsidRPr="004F396C" w14:paraId="6EF8D008" w14:textId="77777777" w:rsidTr="00303EDF">
        <w:trPr>
          <w:divId w:val="659895095"/>
        </w:trPr>
        <w:tc>
          <w:tcPr>
            <w:tcW w:w="2988" w:type="dxa"/>
          </w:tcPr>
          <w:p w14:paraId="2053BF54"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Njësia matëse</w:t>
            </w:r>
          </w:p>
        </w:tc>
        <w:tc>
          <w:tcPr>
            <w:tcW w:w="5652" w:type="dxa"/>
          </w:tcPr>
          <w:p w14:paraId="47DFC797"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Tregon mënyrën se si matet treguesi (p.sh. %, numër, ha, lekë/frymë).</w:t>
            </w:r>
          </w:p>
        </w:tc>
      </w:tr>
      <w:tr w:rsidR="00303EDF" w:rsidRPr="004F396C" w14:paraId="6C55640E" w14:textId="77777777" w:rsidTr="00303EDF">
        <w:trPr>
          <w:divId w:val="659895095"/>
        </w:trPr>
        <w:tc>
          <w:tcPr>
            <w:tcW w:w="2988" w:type="dxa"/>
          </w:tcPr>
          <w:p w14:paraId="5A51BD7D"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Vlera 2023 / 2024</w:t>
            </w:r>
          </w:p>
        </w:tc>
        <w:tc>
          <w:tcPr>
            <w:tcW w:w="5652" w:type="dxa"/>
          </w:tcPr>
          <w:p w14:paraId="0CDF448C"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Tregojnë rezultatet e arritura për secilin vit.</w:t>
            </w:r>
          </w:p>
        </w:tc>
      </w:tr>
      <w:tr w:rsidR="00303EDF" w:rsidRPr="004F396C" w14:paraId="096B6BD1" w14:textId="77777777" w:rsidTr="00303EDF">
        <w:trPr>
          <w:divId w:val="659895095"/>
        </w:trPr>
        <w:tc>
          <w:tcPr>
            <w:tcW w:w="2988" w:type="dxa"/>
          </w:tcPr>
          <w:p w14:paraId="22EC6BF1"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Ndryshimi (%)</w:t>
            </w:r>
          </w:p>
        </w:tc>
        <w:tc>
          <w:tcPr>
            <w:tcW w:w="5652" w:type="dxa"/>
          </w:tcPr>
          <w:p w14:paraId="62F5C3F5"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 xml:space="preserve">Diferenca në përqindje ndërmjet viteve. Formula: (Vlera 2024 </w:t>
            </w:r>
            <w:r w:rsidRPr="004F396C">
              <w:rPr>
                <w:rFonts w:ascii="Cambria Math" w:hAnsi="Cambria Math" w:cs="Cambria Math"/>
                <w:sz w:val="22"/>
                <w:szCs w:val="22"/>
                <w:lang w:val="sq-AL"/>
              </w:rPr>
              <w:t>−</w:t>
            </w:r>
            <w:r w:rsidRPr="004F396C">
              <w:rPr>
                <w:rFonts w:ascii="Bahnschrift" w:hAnsi="Bahnschrift"/>
                <w:sz w:val="22"/>
                <w:szCs w:val="22"/>
                <w:lang w:val="sq-AL"/>
              </w:rPr>
              <w:t xml:space="preserve"> Vlera 2023) / Vlera 2023 </w:t>
            </w:r>
            <w:r w:rsidRPr="004F396C">
              <w:rPr>
                <w:rFonts w:ascii="Bahnschrift" w:hAnsi="Bahnschrift" w:cs="Bahnschrift"/>
                <w:sz w:val="22"/>
                <w:szCs w:val="22"/>
                <w:lang w:val="sq-AL"/>
              </w:rPr>
              <w:t>×</w:t>
            </w:r>
            <w:r w:rsidRPr="004F396C">
              <w:rPr>
                <w:rFonts w:ascii="Bahnschrift" w:hAnsi="Bahnschrift"/>
                <w:sz w:val="22"/>
                <w:szCs w:val="22"/>
                <w:lang w:val="sq-AL"/>
              </w:rPr>
              <w:t xml:space="preserve"> 100.</w:t>
            </w:r>
          </w:p>
        </w:tc>
      </w:tr>
      <w:tr w:rsidR="00303EDF" w:rsidRPr="004F396C" w14:paraId="543B9DB7" w14:textId="77777777" w:rsidTr="00303EDF">
        <w:trPr>
          <w:divId w:val="659895095"/>
        </w:trPr>
        <w:tc>
          <w:tcPr>
            <w:tcW w:w="2988" w:type="dxa"/>
          </w:tcPr>
          <w:p w14:paraId="7913F448"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Trendi dhe Simboli i Trendit (</w:t>
            </w:r>
            <w:r w:rsidRPr="004F396C">
              <w:rPr>
                <w:rFonts w:ascii="Arial" w:hAnsi="Arial" w:cs="Arial"/>
                <w:sz w:val="22"/>
                <w:szCs w:val="22"/>
                <w:lang w:val="sq-AL"/>
              </w:rPr>
              <w:t>→</w:t>
            </w:r>
            <w:r w:rsidRPr="004F396C">
              <w:rPr>
                <w:rFonts w:ascii="Bahnschrift" w:hAnsi="Bahnschrift"/>
                <w:sz w:val="22"/>
                <w:szCs w:val="22"/>
                <w:lang w:val="sq-AL"/>
              </w:rPr>
              <w:t xml:space="preserve"> </w:t>
            </w:r>
            <w:r w:rsidRPr="004F396C">
              <w:rPr>
                <w:rFonts w:ascii="Arial" w:hAnsi="Arial" w:cs="Arial"/>
                <w:sz w:val="22"/>
                <w:szCs w:val="22"/>
                <w:lang w:val="sq-AL"/>
              </w:rPr>
              <w:t>↑</w:t>
            </w:r>
            <w:r w:rsidRPr="004F396C">
              <w:rPr>
                <w:rFonts w:ascii="Bahnschrift" w:hAnsi="Bahnschrift"/>
                <w:sz w:val="22"/>
                <w:szCs w:val="22"/>
                <w:lang w:val="sq-AL"/>
              </w:rPr>
              <w:t xml:space="preserve"> </w:t>
            </w:r>
            <w:r w:rsidRPr="004F396C">
              <w:rPr>
                <w:rFonts w:ascii="Arial" w:hAnsi="Arial" w:cs="Arial"/>
                <w:sz w:val="22"/>
                <w:szCs w:val="22"/>
                <w:lang w:val="sq-AL"/>
              </w:rPr>
              <w:t>↓</w:t>
            </w:r>
            <w:r w:rsidRPr="004F396C">
              <w:rPr>
                <w:rFonts w:ascii="Bahnschrift" w:hAnsi="Bahnschrift"/>
                <w:sz w:val="22"/>
                <w:szCs w:val="22"/>
                <w:lang w:val="sq-AL"/>
              </w:rPr>
              <w:t>)</w:t>
            </w:r>
          </w:p>
        </w:tc>
        <w:tc>
          <w:tcPr>
            <w:tcW w:w="5652" w:type="dxa"/>
          </w:tcPr>
          <w:p w14:paraId="0D8F79AD"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 xml:space="preserve">Diferenca në vlerë absolute ndërmjet viteve. (Vlera 2024 </w:t>
            </w:r>
            <w:r w:rsidRPr="004F396C">
              <w:rPr>
                <w:rFonts w:ascii="Cambria Math" w:hAnsi="Cambria Math" w:cs="Cambria Math"/>
                <w:sz w:val="22"/>
                <w:szCs w:val="22"/>
                <w:lang w:val="sq-AL"/>
              </w:rPr>
              <w:t>−</w:t>
            </w:r>
            <w:r w:rsidRPr="004F396C">
              <w:rPr>
                <w:rFonts w:ascii="Bahnschrift" w:hAnsi="Bahnschrift"/>
                <w:sz w:val="22"/>
                <w:szCs w:val="22"/>
                <w:lang w:val="sq-AL"/>
              </w:rPr>
              <w:t xml:space="preserve"> Vlera 2023).  Simboli I Trendit tregon drejtimin e lëvizjes: </w:t>
            </w:r>
            <w:r w:rsidRPr="004F396C">
              <w:rPr>
                <w:rFonts w:ascii="Arial" w:hAnsi="Arial" w:cs="Arial"/>
                <w:sz w:val="22"/>
                <w:szCs w:val="22"/>
                <w:lang w:val="sq-AL"/>
              </w:rPr>
              <w:t>↑</w:t>
            </w:r>
            <w:r w:rsidRPr="004F396C">
              <w:rPr>
                <w:rFonts w:ascii="Bahnschrift" w:hAnsi="Bahnschrift"/>
                <w:sz w:val="22"/>
                <w:szCs w:val="22"/>
                <w:lang w:val="sq-AL"/>
              </w:rPr>
              <w:t xml:space="preserve"> p</w:t>
            </w:r>
            <w:r w:rsidRPr="004F396C">
              <w:rPr>
                <w:rFonts w:ascii="Bahnschrift" w:hAnsi="Bahnschrift" w:cs="Bahnschrift"/>
                <w:sz w:val="22"/>
                <w:szCs w:val="22"/>
                <w:lang w:val="sq-AL"/>
              </w:rPr>
              <w:t>ë</w:t>
            </w:r>
            <w:r w:rsidRPr="004F396C">
              <w:rPr>
                <w:rFonts w:ascii="Bahnschrift" w:hAnsi="Bahnschrift"/>
                <w:sz w:val="22"/>
                <w:szCs w:val="22"/>
                <w:lang w:val="sq-AL"/>
              </w:rPr>
              <w:t>rmir</w:t>
            </w:r>
            <w:r w:rsidRPr="004F396C">
              <w:rPr>
                <w:rFonts w:ascii="Bahnschrift" w:hAnsi="Bahnschrift" w:cs="Bahnschrift"/>
                <w:sz w:val="22"/>
                <w:szCs w:val="22"/>
                <w:lang w:val="sq-AL"/>
              </w:rPr>
              <w:t>ë</w:t>
            </w:r>
            <w:r w:rsidRPr="004F396C">
              <w:rPr>
                <w:rFonts w:ascii="Bahnschrift" w:hAnsi="Bahnschrift"/>
                <w:sz w:val="22"/>
                <w:szCs w:val="22"/>
                <w:lang w:val="sq-AL"/>
              </w:rPr>
              <w:t xml:space="preserve">sim, </w:t>
            </w:r>
            <w:r w:rsidRPr="004F396C">
              <w:rPr>
                <w:rFonts w:ascii="Arial" w:hAnsi="Arial" w:cs="Arial"/>
                <w:sz w:val="22"/>
                <w:szCs w:val="22"/>
                <w:lang w:val="sq-AL"/>
              </w:rPr>
              <w:t>↓</w:t>
            </w:r>
            <w:r w:rsidRPr="004F396C">
              <w:rPr>
                <w:rFonts w:ascii="Bahnschrift" w:hAnsi="Bahnschrift"/>
                <w:sz w:val="22"/>
                <w:szCs w:val="22"/>
                <w:lang w:val="sq-AL"/>
              </w:rPr>
              <w:t xml:space="preserve"> p</w:t>
            </w:r>
            <w:r w:rsidRPr="004F396C">
              <w:rPr>
                <w:rFonts w:ascii="Bahnschrift" w:hAnsi="Bahnschrift" w:cs="Bahnschrift"/>
                <w:sz w:val="22"/>
                <w:szCs w:val="22"/>
                <w:lang w:val="sq-AL"/>
              </w:rPr>
              <w:t>ë</w:t>
            </w:r>
            <w:r w:rsidRPr="004F396C">
              <w:rPr>
                <w:rFonts w:ascii="Bahnschrift" w:hAnsi="Bahnschrift"/>
                <w:sz w:val="22"/>
                <w:szCs w:val="22"/>
                <w:lang w:val="sq-AL"/>
              </w:rPr>
              <w:t>rkeq</w:t>
            </w:r>
            <w:r w:rsidRPr="004F396C">
              <w:rPr>
                <w:rFonts w:ascii="Bahnschrift" w:hAnsi="Bahnschrift" w:cs="Bahnschrift"/>
                <w:sz w:val="22"/>
                <w:szCs w:val="22"/>
                <w:lang w:val="sq-AL"/>
              </w:rPr>
              <w:t>ë</w:t>
            </w:r>
            <w:r w:rsidRPr="004F396C">
              <w:rPr>
                <w:rFonts w:ascii="Bahnschrift" w:hAnsi="Bahnschrift"/>
                <w:sz w:val="22"/>
                <w:szCs w:val="22"/>
                <w:lang w:val="sq-AL"/>
              </w:rPr>
              <w:t xml:space="preserve">sim, </w:t>
            </w:r>
            <w:r w:rsidRPr="004F396C">
              <w:rPr>
                <w:rFonts w:ascii="Arial" w:hAnsi="Arial" w:cs="Arial"/>
                <w:sz w:val="22"/>
                <w:szCs w:val="22"/>
                <w:lang w:val="sq-AL"/>
              </w:rPr>
              <w:t>→</w:t>
            </w:r>
            <w:r w:rsidRPr="004F396C">
              <w:rPr>
                <w:rFonts w:ascii="Bahnschrift" w:hAnsi="Bahnschrift"/>
                <w:sz w:val="22"/>
                <w:szCs w:val="22"/>
                <w:lang w:val="sq-AL"/>
              </w:rPr>
              <w:t xml:space="preserve"> stabilitet </w:t>
            </w:r>
          </w:p>
        </w:tc>
      </w:tr>
      <w:tr w:rsidR="00303EDF" w:rsidRPr="004F396C" w14:paraId="70CC14EE" w14:textId="77777777" w:rsidTr="00303EDF">
        <w:trPr>
          <w:divId w:val="659895095"/>
        </w:trPr>
        <w:tc>
          <w:tcPr>
            <w:tcW w:w="2988" w:type="dxa"/>
          </w:tcPr>
          <w:p w14:paraId="0E1E5458" w14:textId="77777777" w:rsidR="00303EDF" w:rsidRPr="004F396C" w:rsidRDefault="00303EDF" w:rsidP="004915AB">
            <w:pPr>
              <w:rPr>
                <w:rFonts w:ascii="Bahnschrift" w:hAnsi="Bahnschrift"/>
                <w:sz w:val="22"/>
                <w:szCs w:val="22"/>
                <w:lang w:val="sq-AL"/>
              </w:rPr>
            </w:pPr>
            <w:r w:rsidRPr="004F396C">
              <w:rPr>
                <w:rFonts w:ascii="Bahnschrift" w:hAnsi="Bahnschrift"/>
                <w:sz w:val="22"/>
                <w:szCs w:val="22"/>
                <w:lang w:val="sq-AL"/>
              </w:rPr>
              <w:t>Semafori</w:t>
            </w:r>
          </w:p>
        </w:tc>
        <w:tc>
          <w:tcPr>
            <w:tcW w:w="5652" w:type="dxa"/>
          </w:tcPr>
          <w:p w14:paraId="79CE5861" w14:textId="77777777" w:rsidR="001D233C" w:rsidRDefault="00303EDF" w:rsidP="004915AB">
            <w:pPr>
              <w:rPr>
                <w:rFonts w:ascii="Bahnschrift" w:hAnsi="Bahnschrift"/>
                <w:sz w:val="22"/>
                <w:szCs w:val="22"/>
                <w:lang w:val="sq-AL"/>
              </w:rPr>
            </w:pPr>
            <w:r w:rsidRPr="004F396C">
              <w:rPr>
                <w:rFonts w:ascii="Bahnschrift" w:hAnsi="Bahnschrift"/>
                <w:sz w:val="22"/>
                <w:szCs w:val="22"/>
                <w:lang w:val="sq-AL"/>
              </w:rPr>
              <w:t>Vlerësim vizual i nivelit të performancës:</w:t>
            </w:r>
          </w:p>
          <w:p w14:paraId="2E04EB7D" w14:textId="77777777" w:rsidR="001D233C" w:rsidRDefault="00303EDF" w:rsidP="004915AB">
            <w:pPr>
              <w:rPr>
                <w:rFonts w:ascii="Bahnschrift" w:hAnsi="Bahnschrift"/>
                <w:sz w:val="22"/>
                <w:szCs w:val="22"/>
                <w:lang w:val="sq-AL"/>
              </w:rPr>
            </w:pPr>
            <w:r w:rsidRPr="004F396C">
              <w:rPr>
                <w:rFonts w:ascii="Bahnschrift" w:hAnsi="Bahnschrift"/>
                <w:sz w:val="22"/>
                <w:szCs w:val="22"/>
                <w:lang w:val="sq-AL"/>
              </w:rPr>
              <w:t xml:space="preserve"> </w:t>
            </w:r>
            <w:r w:rsidRPr="004F396C">
              <w:rPr>
                <w:rFonts w:ascii="Segoe UI Emoji" w:hAnsi="Segoe UI Emoji" w:cs="Segoe UI Emoji"/>
                <w:sz w:val="22"/>
                <w:szCs w:val="22"/>
                <w:lang w:val="sq-AL"/>
              </w:rPr>
              <w:t>🟢</w:t>
            </w:r>
            <w:r w:rsidRPr="004F396C">
              <w:rPr>
                <w:rFonts w:ascii="Bahnschrift" w:hAnsi="Bahnschrift"/>
                <w:sz w:val="22"/>
                <w:szCs w:val="22"/>
                <w:lang w:val="sq-AL"/>
              </w:rPr>
              <w:t xml:space="preserve">  </w:t>
            </w:r>
            <w:r>
              <w:rPr>
                <w:rFonts w:ascii="Bahnschrift" w:hAnsi="Bahnschrift"/>
                <w:sz w:val="22"/>
                <w:szCs w:val="22"/>
                <w:lang w:val="sq-AL"/>
              </w:rPr>
              <w:t xml:space="preserve">= </w:t>
            </w:r>
            <w:r w:rsidRPr="004F396C">
              <w:rPr>
                <w:rFonts w:ascii="Bahnschrift" w:hAnsi="Bahnschrift"/>
                <w:sz w:val="22"/>
                <w:szCs w:val="22"/>
                <w:lang w:val="sq-AL"/>
              </w:rPr>
              <w:t xml:space="preserve">vlere absolute ndryshimi positiv </w:t>
            </w:r>
          </w:p>
          <w:p w14:paraId="3D231745" w14:textId="77777777" w:rsidR="001D233C" w:rsidRDefault="00303EDF" w:rsidP="004915AB">
            <w:pPr>
              <w:rPr>
                <w:rFonts w:ascii="Bahnschrift" w:hAnsi="Bahnschrift"/>
                <w:sz w:val="22"/>
                <w:szCs w:val="22"/>
                <w:lang w:val="sq-AL"/>
              </w:rPr>
            </w:pPr>
            <w:r w:rsidRPr="004F396C">
              <w:rPr>
                <w:rFonts w:ascii="Segoe UI Emoji" w:hAnsi="Segoe UI Emoji" w:cs="Segoe UI Emoji"/>
                <w:sz w:val="22"/>
                <w:szCs w:val="22"/>
                <w:lang w:val="sq-AL"/>
              </w:rPr>
              <w:t>🔴</w:t>
            </w:r>
            <w:r w:rsidRPr="004F396C">
              <w:rPr>
                <w:rFonts w:ascii="Bahnschrift" w:hAnsi="Bahnschrift"/>
                <w:sz w:val="22"/>
                <w:szCs w:val="22"/>
                <w:lang w:val="sq-AL"/>
              </w:rPr>
              <w:t xml:space="preserve"> </w:t>
            </w:r>
            <w:r>
              <w:rPr>
                <w:rFonts w:ascii="Bahnschrift" w:hAnsi="Bahnschrift"/>
                <w:sz w:val="22"/>
                <w:szCs w:val="22"/>
                <w:lang w:val="sq-AL"/>
              </w:rPr>
              <w:t>=</w:t>
            </w:r>
            <w:r w:rsidRPr="004F396C">
              <w:rPr>
                <w:rFonts w:ascii="Bahnschrift" w:hAnsi="Bahnschrift"/>
                <w:sz w:val="22"/>
                <w:szCs w:val="22"/>
                <w:lang w:val="sq-AL"/>
              </w:rPr>
              <w:t>vlere absolute ndryshimi negative</w:t>
            </w:r>
            <w:r>
              <w:rPr>
                <w:rFonts w:ascii="Bahnschrift" w:hAnsi="Bahnschrift"/>
                <w:sz w:val="22"/>
                <w:szCs w:val="22"/>
                <w:lang w:val="sq-AL"/>
              </w:rPr>
              <w:t>.</w:t>
            </w:r>
            <w:r w:rsidR="001D233C">
              <w:rPr>
                <w:rFonts w:ascii="Bahnschrift" w:hAnsi="Bahnschrift"/>
                <w:sz w:val="22"/>
                <w:szCs w:val="22"/>
                <w:lang w:val="sq-AL"/>
              </w:rPr>
              <w:t xml:space="preserve">  </w:t>
            </w:r>
          </w:p>
          <w:p w14:paraId="3C9665CC" w14:textId="0DCAEE42" w:rsidR="00303EDF" w:rsidRPr="004F396C" w:rsidRDefault="001D233C" w:rsidP="004915AB">
            <w:pPr>
              <w:rPr>
                <w:rFonts w:ascii="Bahnschrift" w:hAnsi="Bahnschrift"/>
                <w:sz w:val="22"/>
                <w:szCs w:val="22"/>
                <w:lang w:val="sq-AL"/>
              </w:rPr>
            </w:pPr>
            <w:r w:rsidRPr="001D233C">
              <w:rPr>
                <w:rFonts w:ascii="Segoe UI Emoji" w:hAnsi="Segoe UI Emoji" w:cs="Segoe UI Emoji"/>
                <w:sz w:val="22"/>
                <w:szCs w:val="22"/>
              </w:rPr>
              <w:t>🟠</w:t>
            </w:r>
            <w:r w:rsidRPr="001D233C">
              <w:rPr>
                <w:rFonts w:ascii="Bahnschrift" w:hAnsi="Bahnschrift"/>
                <w:sz w:val="22"/>
                <w:szCs w:val="22"/>
              </w:rPr>
              <w:t xml:space="preserve"> = nuk ka ndryshim (vlera mbetet e njëjtë) </w:t>
            </w:r>
            <w:r w:rsidRPr="001D233C">
              <w:rPr>
                <w:rFonts w:ascii="Bahnschrift" w:hAnsi="Bahnschrift"/>
                <w:sz w:val="22"/>
                <w:szCs w:val="22"/>
              </w:rPr>
              <w:br/>
            </w:r>
            <w:r w:rsidRPr="001D233C">
              <w:rPr>
                <w:rFonts w:ascii="Segoe UI Emoji" w:hAnsi="Segoe UI Emoji" w:cs="Segoe UI Emoji"/>
                <w:sz w:val="22"/>
                <w:szCs w:val="22"/>
              </w:rPr>
              <w:t>⚪️</w:t>
            </w:r>
            <w:r w:rsidRPr="001D233C">
              <w:rPr>
                <w:rFonts w:ascii="Bahnschrift" w:hAnsi="Bahnschrift"/>
                <w:sz w:val="22"/>
                <w:szCs w:val="22"/>
              </w:rPr>
              <w:t xml:space="preserve"> = mungojnë të dhënat (nuk raportohen vlera për një ose të dy vitet).</w:t>
            </w:r>
          </w:p>
        </w:tc>
      </w:tr>
    </w:tbl>
    <w:p w14:paraId="604BD5C9" w14:textId="77777777" w:rsidR="00303EDF" w:rsidRPr="00A92947" w:rsidRDefault="00303EDF" w:rsidP="00303EDF">
      <w:pPr>
        <w:divId w:val="659895095"/>
        <w:rPr>
          <w:rFonts w:ascii="Bahnschrift" w:hAnsi="Bahnschrift"/>
          <w:sz w:val="22"/>
          <w:szCs w:val="22"/>
          <w:lang w:val="sq-AL"/>
        </w:rPr>
      </w:pPr>
      <w:r w:rsidRPr="00A92947">
        <w:rPr>
          <w:rFonts w:ascii="Bahnschrift" w:hAnsi="Bahnschrift"/>
          <w:sz w:val="22"/>
          <w:szCs w:val="22"/>
          <w:lang w:val="sq-AL"/>
        </w:rPr>
        <w:t>Nota metodologjike mbi semaforin dhe interpretimin e treguesve</w:t>
      </w:r>
    </w:p>
    <w:p w14:paraId="58556C71" w14:textId="669F160B" w:rsidR="00303EDF" w:rsidRPr="00A92947" w:rsidRDefault="00303EDF" w:rsidP="00303EDF">
      <w:pPr>
        <w:divId w:val="659895095"/>
        <w:rPr>
          <w:rFonts w:ascii="Bahnschrift" w:hAnsi="Bahnschrift"/>
          <w:sz w:val="22"/>
          <w:szCs w:val="22"/>
          <w:lang w:val="sq-AL"/>
        </w:rPr>
      </w:pPr>
      <w:r w:rsidRPr="00A92947">
        <w:rPr>
          <w:rFonts w:ascii="Bahnschrift" w:hAnsi="Bahnschrift"/>
          <w:sz w:val="22"/>
          <w:szCs w:val="22"/>
          <w:lang w:val="sq-AL"/>
        </w:rPr>
        <w:t xml:space="preserve">Në tabelat e performancës, ngjyra e semaforit llogaritet automatikisht sipas parimit të përgjithshëm “vlera positive ndryshimi = jeshile”. Kjo rregull zbatohet njëtrajtësisht për të gjithë treguesit dhe mund të japë vizualisht ngjyrë </w:t>
      </w:r>
      <w:r w:rsidR="001D233C">
        <w:rPr>
          <w:rFonts w:ascii="Bahnschrift" w:hAnsi="Bahnschrift"/>
          <w:sz w:val="22"/>
          <w:szCs w:val="22"/>
          <w:lang w:val="sq-AL"/>
        </w:rPr>
        <w:t>jeshile</w:t>
      </w:r>
      <w:r w:rsidRPr="00A92947">
        <w:rPr>
          <w:rFonts w:ascii="Bahnschrift" w:hAnsi="Bahnschrift"/>
          <w:sz w:val="22"/>
          <w:szCs w:val="22"/>
          <w:lang w:val="sq-AL"/>
        </w:rPr>
        <w:t xml:space="preserve"> edhe në raste kur rezultati real është </w:t>
      </w:r>
      <w:r w:rsidR="001D233C">
        <w:rPr>
          <w:rFonts w:ascii="Bahnschrift" w:hAnsi="Bahnschrift"/>
          <w:sz w:val="22"/>
          <w:szCs w:val="22"/>
          <w:lang w:val="sq-AL"/>
        </w:rPr>
        <w:t>negativ ose e kunderta ngjyre te kuqe kur rezultati real eshte pozitiv</w:t>
      </w:r>
      <w:r w:rsidRPr="00A92947">
        <w:rPr>
          <w:rFonts w:ascii="Bahnschrift" w:hAnsi="Bahnschrift"/>
          <w:sz w:val="22"/>
          <w:szCs w:val="22"/>
          <w:lang w:val="sq-AL"/>
        </w:rPr>
        <w:t>.</w:t>
      </w:r>
    </w:p>
    <w:p w14:paraId="602DFE85" w14:textId="77777777" w:rsidR="00303EDF" w:rsidRPr="00A92947" w:rsidRDefault="00303EDF" w:rsidP="00303EDF">
      <w:pPr>
        <w:divId w:val="659895095"/>
        <w:rPr>
          <w:rFonts w:ascii="Bahnschrift" w:hAnsi="Bahnschrift"/>
          <w:sz w:val="22"/>
          <w:szCs w:val="22"/>
          <w:lang w:val="sq-AL"/>
        </w:rPr>
      </w:pPr>
      <w:r w:rsidRPr="00A92947">
        <w:rPr>
          <w:rFonts w:ascii="Bahnschrift" w:hAnsi="Bahnschrift"/>
          <w:sz w:val="22"/>
          <w:szCs w:val="22"/>
          <w:lang w:val="sq-AL"/>
        </w:rPr>
        <w:t>Në veçanti, për disa tregues me logjikë të përmbysur, ulja e vlerës absolute përfaqëson përmirësim të performancës. Këtu përfshihen, ndër të tjera:</w:t>
      </w:r>
    </w:p>
    <w:p w14:paraId="5F8A1B7E" w14:textId="06E16760" w:rsidR="00303EDF" w:rsidRPr="00A92947" w:rsidRDefault="00303EDF" w:rsidP="00303EDF">
      <w:pPr>
        <w:pStyle w:val="ListBullet"/>
        <w:tabs>
          <w:tab w:val="num" w:pos="360"/>
        </w:tabs>
        <w:ind w:left="360" w:hanging="360"/>
        <w:divId w:val="659895095"/>
        <w:rPr>
          <w:rFonts w:ascii="Bahnschrift" w:hAnsi="Bahnschrift"/>
          <w:lang w:val="sq-AL"/>
        </w:rPr>
      </w:pPr>
      <w:r w:rsidRPr="00A92947">
        <w:rPr>
          <w:rFonts w:ascii="Bahnschrift" w:hAnsi="Bahnschrift"/>
          <w:lang w:val="sq-AL"/>
        </w:rPr>
        <w:lastRenderedPageBreak/>
        <w:t>Detyrimet e prapambetura (rënia tregon përmirësim financiar).</w:t>
      </w:r>
    </w:p>
    <w:p w14:paraId="504D8F2F" w14:textId="21122711" w:rsidR="00303EDF" w:rsidRPr="00A92947" w:rsidRDefault="00303EDF" w:rsidP="00303EDF">
      <w:pPr>
        <w:pStyle w:val="ListBullet"/>
        <w:tabs>
          <w:tab w:val="num" w:pos="360"/>
        </w:tabs>
        <w:ind w:left="360" w:hanging="360"/>
        <w:divId w:val="659895095"/>
        <w:rPr>
          <w:rFonts w:ascii="Bahnschrift" w:hAnsi="Bahnschrift"/>
          <w:lang w:val="sq-AL"/>
        </w:rPr>
      </w:pPr>
      <w:r w:rsidRPr="00A92947">
        <w:rPr>
          <w:rFonts w:ascii="Bahnschrift" w:hAnsi="Bahnschrift"/>
          <w:lang w:val="sq-AL"/>
        </w:rPr>
        <w:t>Shpenzimet administrative (ulja tregon efiçencë).</w:t>
      </w:r>
    </w:p>
    <w:p w14:paraId="4A7AD2D1" w14:textId="77777777" w:rsidR="00303EDF" w:rsidRPr="007E220C" w:rsidRDefault="00303EDF" w:rsidP="00303EDF">
      <w:pPr>
        <w:divId w:val="659895095"/>
        <w:rPr>
          <w:rFonts w:eastAsia="Times New Roman"/>
          <w:b/>
          <w:bCs/>
          <w:lang w:val="sq-AL"/>
        </w:rPr>
      </w:pPr>
    </w:p>
    <w:p w14:paraId="65719253" w14:textId="77777777" w:rsidR="00245A3F" w:rsidRPr="00CF0D09" w:rsidRDefault="00245A3F" w:rsidP="00AE6C93">
      <w:pPr>
        <w:divId w:val="659895095"/>
        <w:rPr>
          <w:rFonts w:eastAsia="Times New Roman"/>
          <w:b/>
          <w:bCs/>
        </w:rPr>
      </w:pPr>
    </w:p>
    <w:p w14:paraId="3C2FA279" w14:textId="2D6DA9A8" w:rsidR="00212134" w:rsidRPr="00245A3F" w:rsidRDefault="00212134" w:rsidP="00245A3F">
      <w:pPr>
        <w:pStyle w:val="Heading2"/>
        <w:shd w:val="clear" w:color="auto" w:fill="1F4E79" w:themeFill="accent5" w:themeFillShade="80"/>
        <w:rPr>
          <w:rFonts w:ascii="Bahnschrift" w:eastAsia="Times New Roman" w:hAnsi="Bahnschrift"/>
          <w:color w:val="FFFFFF"/>
          <w:sz w:val="48"/>
          <w:szCs w:val="48"/>
        </w:rPr>
      </w:pPr>
      <w:bookmarkStart w:id="2" w:name="_Toc209362157"/>
      <w:r w:rsidRPr="00245A3F">
        <w:rPr>
          <w:rFonts w:ascii="Bahnschrift" w:eastAsia="Times New Roman" w:hAnsi="Bahnschrift"/>
          <w:color w:val="FFFFFF"/>
          <w:sz w:val="48"/>
          <w:szCs w:val="48"/>
        </w:rPr>
        <w:t>Qellimi I Raportit</w:t>
      </w:r>
      <w:bookmarkEnd w:id="2"/>
    </w:p>
    <w:p w14:paraId="3F0362CA" w14:textId="367BD562" w:rsidR="00212134" w:rsidRPr="00D70E35" w:rsidRDefault="00D70E35" w:rsidP="00D70E35">
      <w:pPr>
        <w:jc w:val="both"/>
        <w:rPr>
          <w:rFonts w:ascii="Bahnschrift" w:eastAsia="Times New Roman" w:hAnsi="Bahnschrift"/>
          <w:sz w:val="21"/>
          <w:szCs w:val="21"/>
        </w:rPr>
      </w:pPr>
      <w:proofErr w:type="gramStart"/>
      <w:r w:rsidRPr="00D70E35">
        <w:rPr>
          <w:rFonts w:ascii="Bahnschrift" w:eastAsia="Times New Roman" w:hAnsi="Bahnschrift"/>
          <w:sz w:val="21"/>
          <w:szCs w:val="21"/>
        </w:rPr>
        <w:t>Raporti i Performancës 2024 synon të ofrojë një pasqyrë të qartë dhe të strukturuar mbi performancën e bashkisë në 11 fusha funksionale.</w:t>
      </w:r>
      <w:proofErr w:type="gramEnd"/>
      <w:r w:rsidRPr="00D70E35">
        <w:rPr>
          <w:rFonts w:ascii="Bahnschrift" w:eastAsia="Times New Roman" w:hAnsi="Bahnschrift"/>
          <w:sz w:val="21"/>
          <w:szCs w:val="21"/>
        </w:rPr>
        <w:t xml:space="preserve"> Ky raport përdoret për të ndihmuar vendimmarrjen e bazuar në të dhëna, për të forcuar transparencën dhe llogaridhënien, si dhe për të mundësuar krahasimin ndërmjet bashkive në nivel kombëtar.Ky raport është përgatitur nga Bashkia __Librazhd_, i mandatuar nga Kryetari i Bashkisë në përputhje me Ligjin Nr. 139/2015, Neni 33, si dhe në kuadër të Sistemit Kombëtar të Matjes së Performancës (SMP 2025).</w:t>
      </w:r>
    </w:p>
    <w:p w14:paraId="20C583F6" w14:textId="57D72B0A" w:rsidR="00BC1077" w:rsidRPr="00245A3F" w:rsidRDefault="008E07A6" w:rsidP="00245A3F">
      <w:pPr>
        <w:pStyle w:val="Heading2"/>
        <w:shd w:val="clear" w:color="auto" w:fill="1F4E79" w:themeFill="accent5" w:themeFillShade="80"/>
        <w:rPr>
          <w:rFonts w:ascii="Bahnschrift" w:eastAsia="Times New Roman" w:hAnsi="Bahnschrift"/>
          <w:color w:val="FFFFFF"/>
          <w:sz w:val="44"/>
          <w:szCs w:val="44"/>
        </w:rPr>
      </w:pPr>
      <w:bookmarkStart w:id="3" w:name="_Toc209362158"/>
      <w:r w:rsidRPr="00245A3F">
        <w:rPr>
          <w:rFonts w:ascii="Bahnschrift" w:eastAsia="Times New Roman" w:hAnsi="Bahnschrift"/>
          <w:color w:val="FFFFFF"/>
          <w:sz w:val="44"/>
          <w:szCs w:val="44"/>
        </w:rPr>
        <w:t>Vështrim i Përgjithshëm mbi Bashkinë</w:t>
      </w:r>
      <w:bookmarkEnd w:id="3"/>
    </w:p>
    <w:p w14:paraId="4C0A64BB" w14:textId="28C377CA" w:rsidR="00D34DF0" w:rsidRDefault="00D34DF0" w:rsidP="00D34DF0">
      <w:pPr>
        <w:rPr>
          <w:rFonts w:ascii="Bahnschrift" w:eastAsia="Times New Roman" w:hAnsi="Bahnschrift"/>
          <w:b/>
          <w:bCs/>
        </w:rPr>
      </w:pPr>
      <w:r w:rsidRPr="00D34DF0">
        <w:rPr>
          <w:rFonts w:ascii="Bahnschrift" w:eastAsia="Times New Roman" w:hAnsi="Bahnschrift"/>
          <w:b/>
          <w:bCs/>
        </w:rPr>
        <w:t xml:space="preserve">Vështrim i Përgjithshëm mbi Bashkinë </w:t>
      </w:r>
      <w:r w:rsidR="00D70E35">
        <w:rPr>
          <w:rFonts w:ascii="Bahnschrift" w:eastAsia="Times New Roman" w:hAnsi="Bahnschrift"/>
          <w:b/>
          <w:bCs/>
        </w:rPr>
        <w:t>Librazhd</w:t>
      </w:r>
    </w:p>
    <w:p w14:paraId="4B7F2BC6" w14:textId="77777777" w:rsidR="00D70E35" w:rsidRDefault="00D70E35" w:rsidP="00D70E35">
      <w:pPr>
        <w:pStyle w:val="NormalWeb"/>
      </w:pPr>
      <w:r>
        <w:t xml:space="preserve">Bashkia Librazhd mbetet një nga bashkitë me territor të gjerë dhe topografi të larmishme në qarkun e Elbasanit, ku pjesa më e madhe e zonës është malore e kodrinore dhe përfshin një kombinim të fshatrave të vegjël të shpërndarë dhe një qendër të vetme urbane. </w:t>
      </w:r>
      <w:proofErr w:type="gramStart"/>
      <w:r>
        <w:t>Pozicionimi përgjatë korridorit nacional Elbasan–Korçë e vendos Librazhdin në një nyje të rëndësishme të qarkullimit, por njëkohësisht e ekspozon qytetin ndaj sfidave strukturore si depopullimi, papunësia sezonale dhe migrimi i të rinjve.</w:t>
      </w:r>
      <w:proofErr w:type="gramEnd"/>
    </w:p>
    <w:p w14:paraId="68BF1CE6" w14:textId="77777777" w:rsidR="00D70E35" w:rsidRDefault="00D70E35" w:rsidP="00D70E35">
      <w:pPr>
        <w:pStyle w:val="Heading3"/>
      </w:pPr>
      <w:r>
        <w:rPr>
          <w:rStyle w:val="Strong"/>
          <w:b w:val="0"/>
          <w:bCs w:val="0"/>
        </w:rPr>
        <w:t>Demografia dhe dinamika sociale</w:t>
      </w:r>
    </w:p>
    <w:p w14:paraId="06C498D2" w14:textId="77777777" w:rsidR="00D70E35" w:rsidRDefault="00D70E35" w:rsidP="00D70E35">
      <w:pPr>
        <w:pStyle w:val="NormalWeb"/>
      </w:pPr>
      <w:r>
        <w:t xml:space="preserve">Trendet demografike të viteve të fundit tregojnë një </w:t>
      </w:r>
      <w:r>
        <w:rPr>
          <w:rStyle w:val="Strong"/>
        </w:rPr>
        <w:t>ulje të popullsisë së qëndrueshme</w:t>
      </w:r>
      <w:r>
        <w:t xml:space="preserve">, sidomos në zonat e thella rurale, duke ndikuar drejtpërdrejt në kërkesën për shërbime publike, arsimim, mbështetje sociale dhe fuqi punëtore. </w:t>
      </w:r>
      <w:proofErr w:type="gramStart"/>
      <w:r>
        <w:t>Megjithatë, Librazhdi vazhdon të jetë një bashki me komunitet aktiv, me tradita të forta dhe potencial për t’u orientuar drejt modeleve të reja të zhvillimit rural, turizmit natyror, shfrytëzimit të burimeve pyjore dhe vlerave mjedisore.</w:t>
      </w:r>
      <w:proofErr w:type="gramEnd"/>
    </w:p>
    <w:p w14:paraId="3F276E08" w14:textId="77777777" w:rsidR="00D70E35" w:rsidRDefault="00D70E35" w:rsidP="00D70E35">
      <w:pPr>
        <w:pStyle w:val="Heading3"/>
      </w:pPr>
      <w:r>
        <w:rPr>
          <w:rStyle w:val="Strong"/>
          <w:b w:val="0"/>
          <w:bCs w:val="0"/>
        </w:rPr>
        <w:t>Ekonomia dhe burimet vendore</w:t>
      </w:r>
    </w:p>
    <w:p w14:paraId="66B4F628" w14:textId="77777777" w:rsidR="00D70E35" w:rsidRDefault="00D70E35" w:rsidP="00D70E35">
      <w:pPr>
        <w:pStyle w:val="NormalWeb"/>
      </w:pPr>
      <w:proofErr w:type="gramStart"/>
      <w:r>
        <w:t>Ekonomia vendore bazohet kryesisht në bujqësi, blegtori, pyje, aktivitet tregtar dhe emigracion.</w:t>
      </w:r>
      <w:proofErr w:type="gramEnd"/>
      <w:r>
        <w:t xml:space="preserve"> </w:t>
      </w:r>
      <w:proofErr w:type="gramStart"/>
      <w:r>
        <w:t>Shërbimet publike përbëjnë një pjesë të rëndësishme të punësimit lokal.</w:t>
      </w:r>
      <w:proofErr w:type="gramEnd"/>
      <w:r>
        <w:t xml:space="preserve"> </w:t>
      </w:r>
      <w:proofErr w:type="gramStart"/>
      <w:r>
        <w:t xml:space="preserve">Në vitin 2024, Bashkia Librazhd ka treguar </w:t>
      </w:r>
      <w:r>
        <w:rPr>
          <w:rStyle w:val="Strong"/>
        </w:rPr>
        <w:t>stabilitet fiskal dhe disiplinë të mirë buxhetore</w:t>
      </w:r>
      <w:r>
        <w:t>, me rritje të të ardhurave të veta për frymë, ekzekutim të lartë buxhetor dhe investime të qëndrueshme në shërbimet bazë.</w:t>
      </w:r>
      <w:proofErr w:type="gramEnd"/>
      <w:r>
        <w:t xml:space="preserve"> </w:t>
      </w:r>
      <w:proofErr w:type="gramStart"/>
      <w:r>
        <w:t>Ulja e detyrimeve dhe optimizimi i shpenzimeve të personelit tregojnë për një administrim më të orientuar drejt eficiencës.</w:t>
      </w:r>
      <w:proofErr w:type="gramEnd"/>
    </w:p>
    <w:p w14:paraId="475440C9" w14:textId="77777777" w:rsidR="00D70E35" w:rsidRDefault="00D70E35" w:rsidP="00D70E35">
      <w:pPr>
        <w:pStyle w:val="Heading3"/>
      </w:pPr>
      <w:r>
        <w:rPr>
          <w:rStyle w:val="Strong"/>
          <w:b w:val="0"/>
          <w:bCs w:val="0"/>
        </w:rPr>
        <w:lastRenderedPageBreak/>
        <w:t>Infrastruktura dhe shërbimet publike</w:t>
      </w:r>
    </w:p>
    <w:p w14:paraId="06463A36" w14:textId="77777777" w:rsidR="00D70E35" w:rsidRDefault="00D70E35" w:rsidP="00D70E35">
      <w:pPr>
        <w:pStyle w:val="NormalWeb"/>
      </w:pPr>
      <w:r>
        <w:t xml:space="preserve">Rrjeti i shërbimeve publike mbulon të gjithë territorin, por </w:t>
      </w:r>
      <w:r>
        <w:rPr>
          <w:rStyle w:val="Strong"/>
        </w:rPr>
        <w:t>shpërndarja e popullsisë në zona të largëta malore</w:t>
      </w:r>
      <w:r>
        <w:t xml:space="preserve"> ka krijuar sfida për ofrimin e rregullt të shërbimeve si:</w:t>
      </w:r>
    </w:p>
    <w:p w14:paraId="4F33DF44" w14:textId="77777777" w:rsidR="00D70E35" w:rsidRDefault="00D70E35" w:rsidP="00D70E35">
      <w:pPr>
        <w:pStyle w:val="NormalWeb"/>
        <w:numPr>
          <w:ilvl w:val="0"/>
          <w:numId w:val="29"/>
        </w:numPr>
        <w:spacing w:line="240" w:lineRule="auto"/>
      </w:pPr>
      <w:r>
        <w:t>menaxhimi i mbetjeve në fshatra të shpërndarë,</w:t>
      </w:r>
    </w:p>
    <w:p w14:paraId="14090FA5" w14:textId="77777777" w:rsidR="00D70E35" w:rsidRDefault="00D70E35" w:rsidP="00D70E35">
      <w:pPr>
        <w:pStyle w:val="NormalWeb"/>
        <w:numPr>
          <w:ilvl w:val="0"/>
          <w:numId w:val="29"/>
        </w:numPr>
        <w:spacing w:line="240" w:lineRule="auto"/>
      </w:pPr>
      <w:r>
        <w:t>mirëmbajtja e rrugëve rurale,</w:t>
      </w:r>
    </w:p>
    <w:p w14:paraId="3AA9DB8C" w14:textId="77777777" w:rsidR="00D70E35" w:rsidRDefault="00D70E35" w:rsidP="00D70E35">
      <w:pPr>
        <w:pStyle w:val="NormalWeb"/>
        <w:numPr>
          <w:ilvl w:val="0"/>
          <w:numId w:val="29"/>
        </w:numPr>
        <w:spacing w:line="240" w:lineRule="auto"/>
      </w:pPr>
      <w:r>
        <w:t>shërbimet e ujitjes dhe kullimit,</w:t>
      </w:r>
    </w:p>
    <w:p w14:paraId="215862F4" w14:textId="77777777" w:rsidR="00D70E35" w:rsidRDefault="00D70E35" w:rsidP="00D70E35">
      <w:pPr>
        <w:pStyle w:val="NormalWeb"/>
        <w:numPr>
          <w:ilvl w:val="0"/>
          <w:numId w:val="29"/>
        </w:numPr>
        <w:spacing w:line="240" w:lineRule="auto"/>
      </w:pPr>
      <w:r>
        <w:t>menaxhimi i emergjencave dhe zjarreve në zona pyjore,</w:t>
      </w:r>
    </w:p>
    <w:p w14:paraId="56D8DCFE" w14:textId="77777777" w:rsidR="00D70E35" w:rsidRDefault="00D70E35" w:rsidP="00D70E35">
      <w:pPr>
        <w:pStyle w:val="NormalWeb"/>
        <w:numPr>
          <w:ilvl w:val="0"/>
          <w:numId w:val="29"/>
        </w:numPr>
        <w:spacing w:line="240" w:lineRule="auto"/>
      </w:pPr>
      <w:proofErr w:type="gramStart"/>
      <w:r>
        <w:t>mbështetja</w:t>
      </w:r>
      <w:proofErr w:type="gramEnd"/>
      <w:r>
        <w:t xml:space="preserve"> sociale për familjet e cenueshme.</w:t>
      </w:r>
    </w:p>
    <w:p w14:paraId="58A2D882" w14:textId="77777777" w:rsidR="00D70E35" w:rsidRDefault="00D70E35" w:rsidP="00D70E35">
      <w:pPr>
        <w:pStyle w:val="NormalWeb"/>
      </w:pPr>
      <w:proofErr w:type="gramStart"/>
      <w:r>
        <w:t xml:space="preserve">Megjithatë, bashkia ka ruajtur </w:t>
      </w:r>
      <w:r>
        <w:rPr>
          <w:rStyle w:val="Strong"/>
        </w:rPr>
        <w:t>stabilitet në funksionet e detyruara</w:t>
      </w:r>
      <w:r>
        <w:t>, ka përmirësuar proceset e koordinimit me njësitë administrative dhe ka avancuar në përdorimin e Sistemit të Matjes së Performancës (SMP) për mbledhjen dhe analizimin e të dhënave.</w:t>
      </w:r>
      <w:proofErr w:type="gramEnd"/>
    </w:p>
    <w:p w14:paraId="7A58E411" w14:textId="77777777" w:rsidR="00D70E35" w:rsidRDefault="00D70E35" w:rsidP="00D70E35">
      <w:pPr>
        <w:pStyle w:val="Heading3"/>
      </w:pPr>
      <w:r>
        <w:rPr>
          <w:rStyle w:val="Strong"/>
          <w:b w:val="0"/>
          <w:bCs w:val="0"/>
        </w:rPr>
        <w:t>Mjedisi dhe potenciali zhvillimor</w:t>
      </w:r>
    </w:p>
    <w:p w14:paraId="3F324F25" w14:textId="77777777" w:rsidR="00D70E35" w:rsidRDefault="00D70E35" w:rsidP="00D70E35">
      <w:pPr>
        <w:pStyle w:val="NormalWeb"/>
      </w:pPr>
      <w:r>
        <w:t>Librazhdi ka një potencial të lartë natyror falë:</w:t>
      </w:r>
    </w:p>
    <w:p w14:paraId="081318BC" w14:textId="77777777" w:rsidR="00D70E35" w:rsidRDefault="00D70E35" w:rsidP="00D70E35">
      <w:pPr>
        <w:pStyle w:val="NormalWeb"/>
        <w:numPr>
          <w:ilvl w:val="0"/>
          <w:numId w:val="30"/>
        </w:numPr>
        <w:spacing w:line="240" w:lineRule="auto"/>
      </w:pPr>
      <w:r>
        <w:t>Parkut Kombëtar Shebenik–Jabllanicë,</w:t>
      </w:r>
    </w:p>
    <w:p w14:paraId="5FA8930D" w14:textId="77777777" w:rsidR="00D70E35" w:rsidRDefault="00D70E35" w:rsidP="00D70E35">
      <w:pPr>
        <w:pStyle w:val="NormalWeb"/>
        <w:numPr>
          <w:ilvl w:val="0"/>
          <w:numId w:val="30"/>
        </w:numPr>
        <w:spacing w:line="240" w:lineRule="auto"/>
      </w:pPr>
      <w:r>
        <w:t>zonave të mbrojtura me biodiversitet të pasur,</w:t>
      </w:r>
    </w:p>
    <w:p w14:paraId="611E40BF" w14:textId="77777777" w:rsidR="00D70E35" w:rsidRDefault="00D70E35" w:rsidP="00D70E35">
      <w:pPr>
        <w:pStyle w:val="NormalWeb"/>
        <w:numPr>
          <w:ilvl w:val="0"/>
          <w:numId w:val="30"/>
        </w:numPr>
        <w:spacing w:line="240" w:lineRule="auto"/>
      </w:pPr>
      <w:r>
        <w:t>resurseve të ujit dhe pyjeve,</w:t>
      </w:r>
    </w:p>
    <w:p w14:paraId="60A6D639" w14:textId="77777777" w:rsidR="00D70E35" w:rsidRDefault="00D70E35" w:rsidP="00D70E35">
      <w:pPr>
        <w:pStyle w:val="NormalWeb"/>
        <w:numPr>
          <w:ilvl w:val="0"/>
          <w:numId w:val="30"/>
        </w:numPr>
        <w:spacing w:line="240" w:lineRule="auto"/>
      </w:pPr>
      <w:proofErr w:type="gramStart"/>
      <w:r>
        <w:t>mundësive</w:t>
      </w:r>
      <w:proofErr w:type="gramEnd"/>
      <w:r>
        <w:t xml:space="preserve"> për turizëm malor, ecje, agroturizëm dhe sporte natyrore.</w:t>
      </w:r>
    </w:p>
    <w:p w14:paraId="7B7525B1" w14:textId="77777777" w:rsidR="00D70E35" w:rsidRDefault="00D70E35" w:rsidP="00D70E35">
      <w:pPr>
        <w:pStyle w:val="NormalWeb"/>
      </w:pPr>
      <w:proofErr w:type="gramStart"/>
      <w:r>
        <w:t>Ky</w:t>
      </w:r>
      <w:proofErr w:type="gramEnd"/>
      <w:r>
        <w:t xml:space="preserve"> potencial mbetet i nënshfrytëzuar, por ofron mundësi për zhvillim ekonomik, punësim dhe orientim të bashkisë drejt modeleve të qëndrueshme të ekonomisë së gjelbër.</w:t>
      </w:r>
    </w:p>
    <w:p w14:paraId="5833E119" w14:textId="77777777" w:rsidR="00D70E35" w:rsidRDefault="00D70E35" w:rsidP="00D70E35">
      <w:pPr>
        <w:pStyle w:val="Heading3"/>
      </w:pPr>
      <w:r>
        <w:rPr>
          <w:rStyle w:val="Strong"/>
          <w:b w:val="0"/>
          <w:bCs w:val="0"/>
        </w:rPr>
        <w:t>Qeverisja vendore dhe përfshirja qytetare</w:t>
      </w:r>
    </w:p>
    <w:p w14:paraId="594F6834" w14:textId="77777777" w:rsidR="00D70E35" w:rsidRDefault="00D70E35" w:rsidP="00D70E35">
      <w:pPr>
        <w:pStyle w:val="NormalWeb"/>
      </w:pPr>
      <w:proofErr w:type="gramStart"/>
      <w:r>
        <w:t>Në 2024, bashkia ka treguar përmirësim në disa dimensione të qeverisjes vendore, përfshirë transparencën, raportimin financiar dhe realizimin e shërbimeve bazë.</w:t>
      </w:r>
      <w:proofErr w:type="gramEnd"/>
      <w:r>
        <w:t xml:space="preserve"> </w:t>
      </w:r>
      <w:proofErr w:type="gramStart"/>
      <w:r>
        <w:t xml:space="preserve">Megjithatë, sfida kryesore mbetet </w:t>
      </w:r>
      <w:r>
        <w:rPr>
          <w:rStyle w:val="Strong"/>
        </w:rPr>
        <w:t>rritja e përfshirjes qytetare, forcimi i konsultimeve publike dhe rritja e kapaciteteve të njësive administrative</w:t>
      </w:r>
      <w:r>
        <w:t>, të cilat shpesh operojnë me staf minimal dhe mungesë logjistike.</w:t>
      </w:r>
      <w:proofErr w:type="gramEnd"/>
    </w:p>
    <w:p w14:paraId="565D70DA" w14:textId="77777777" w:rsidR="00D70E35" w:rsidRDefault="00D70E35" w:rsidP="00D70E35">
      <w:pPr>
        <w:pStyle w:val="Heading3"/>
      </w:pPr>
      <w:r>
        <w:rPr>
          <w:rStyle w:val="Strong"/>
          <w:b w:val="0"/>
          <w:bCs w:val="0"/>
        </w:rPr>
        <w:t>Përmbledhje</w:t>
      </w:r>
    </w:p>
    <w:p w14:paraId="59BF2C7E" w14:textId="77777777" w:rsidR="00D70E35" w:rsidRDefault="00D70E35" w:rsidP="00D70E35">
      <w:pPr>
        <w:pStyle w:val="NormalWeb"/>
      </w:pPr>
      <w:proofErr w:type="gramStart"/>
      <w:r>
        <w:t xml:space="preserve">Librazhdi është një bashki me </w:t>
      </w:r>
      <w:r>
        <w:rPr>
          <w:rStyle w:val="Strong"/>
        </w:rPr>
        <w:t>sfida strukturore</w:t>
      </w:r>
      <w:r>
        <w:t xml:space="preserve">, por edhe me </w:t>
      </w:r>
      <w:r>
        <w:rPr>
          <w:rStyle w:val="Strong"/>
        </w:rPr>
        <w:t>mundësi të qarta zhvillimi</w:t>
      </w:r>
      <w:r>
        <w:t>.</w:t>
      </w:r>
      <w:proofErr w:type="gramEnd"/>
      <w:r>
        <w:t xml:space="preserve"> Depopullimi, terreni malor dhe kapacitetet e kufizuara administrative ndikojnë në cilësinë e shërbimeve, por nga ana tjetër financat e qëndrueshme, pozita gjeografike, potenciali natyror dhe stabiliteti institucional krijojnë bazën për një orientim më të fortë drejt zhvillimit të qëndrueshëm rural, turizmit natyror dhe përmirësimit të shërbimeve për qytetarët.</w:t>
      </w:r>
    </w:p>
    <w:p w14:paraId="6DD73E92" w14:textId="77777777" w:rsidR="00D70E35" w:rsidRPr="00D34DF0" w:rsidRDefault="00D70E35" w:rsidP="00D34DF0">
      <w:pPr>
        <w:rPr>
          <w:rFonts w:ascii="Bahnschrift" w:eastAsia="Times New Roman" w:hAnsi="Bahnschrift"/>
          <w:b/>
          <w:bCs/>
        </w:rPr>
      </w:pPr>
    </w:p>
    <w:p w14:paraId="7383A2AF" w14:textId="77777777" w:rsidR="00BC1077" w:rsidRPr="00245A3F" w:rsidRDefault="008E07A6" w:rsidP="00245A3F">
      <w:pPr>
        <w:pStyle w:val="Heading2"/>
        <w:shd w:val="clear" w:color="auto" w:fill="1F4E79" w:themeFill="accent5" w:themeFillShade="80"/>
        <w:divId w:val="337848698"/>
        <w:rPr>
          <w:rFonts w:ascii="Bahnschrift" w:eastAsia="Times New Roman" w:hAnsi="Bahnschrift"/>
          <w:color w:val="FFFFFF"/>
          <w:sz w:val="40"/>
          <w:szCs w:val="40"/>
        </w:rPr>
      </w:pPr>
      <w:bookmarkStart w:id="4" w:name="_Toc209362159"/>
      <w:r w:rsidRPr="00245A3F">
        <w:rPr>
          <w:rFonts w:ascii="Bahnschrift" w:eastAsia="Times New Roman" w:hAnsi="Bahnschrift"/>
          <w:color w:val="FFFFFF"/>
          <w:sz w:val="40"/>
          <w:szCs w:val="40"/>
        </w:rPr>
        <w:lastRenderedPageBreak/>
        <w:t>Të Dhënat e Përgjithshme të Bashkisë</w:t>
      </w:r>
      <w:bookmarkEnd w:id="4"/>
    </w:p>
    <w:p w14:paraId="34FC9E77" w14:textId="13311437" w:rsidR="005F2B57" w:rsidRPr="00B2253D" w:rsidRDefault="005F2B57" w:rsidP="005F2B57">
      <w:pPr>
        <w:pStyle w:val="NormalWeb"/>
        <w:jc w:val="both"/>
        <w:rPr>
          <w:rFonts w:ascii="Bahnschrift" w:hAnsi="Bahnschrift"/>
          <w:i/>
          <w:iCs/>
          <w:color w:val="FF0000"/>
          <w:sz w:val="22"/>
          <w:szCs w:val="22"/>
        </w:rPr>
      </w:pPr>
    </w:p>
    <w:tbl>
      <w:tblPr>
        <w:tblW w:w="9450" w:type="dxa"/>
        <w:tblLook w:val="04A0" w:firstRow="1" w:lastRow="0" w:firstColumn="1" w:lastColumn="0" w:noHBand="0" w:noVBand="1"/>
      </w:tblPr>
      <w:tblGrid>
        <w:gridCol w:w="6701"/>
        <w:gridCol w:w="2749"/>
      </w:tblGrid>
      <w:tr w:rsidR="00C45131" w:rsidRPr="00945F45" w14:paraId="686965F4" w14:textId="77777777" w:rsidTr="00C45131">
        <w:trPr>
          <w:divId w:val="337848698"/>
          <w:trHeight w:val="684"/>
        </w:trPr>
        <w:tc>
          <w:tcPr>
            <w:tcW w:w="0" w:type="auto"/>
            <w:tcBorders>
              <w:top w:val="nil"/>
              <w:left w:val="nil"/>
              <w:bottom w:val="single" w:sz="12" w:space="0" w:color="C00000"/>
              <w:right w:val="nil"/>
            </w:tcBorders>
            <w:shd w:val="clear" w:color="000000" w:fill="F2F2F2"/>
            <w:vAlign w:val="center"/>
            <w:hideMark/>
          </w:tcPr>
          <w:p w14:paraId="1527021F" w14:textId="77777777" w:rsidR="00C45131" w:rsidRPr="00945F45" w:rsidRDefault="00C45131" w:rsidP="00945F45">
            <w:pPr>
              <w:rPr>
                <w:rFonts w:ascii="Bahnschrift" w:eastAsia="Times New Roman" w:hAnsi="Bahnschrift" w:cs="Calibri"/>
                <w:b/>
                <w:bCs/>
                <w:color w:val="595959"/>
              </w:rPr>
            </w:pPr>
            <w:r w:rsidRPr="00945F45">
              <w:rPr>
                <w:rFonts w:ascii="Bahnschrift" w:eastAsia="Times New Roman" w:hAnsi="Bahnschrift" w:cs="Calibri"/>
                <w:b/>
                <w:bCs/>
                <w:color w:val="595959"/>
              </w:rPr>
              <w:t>E DHËNA</w:t>
            </w:r>
          </w:p>
        </w:tc>
        <w:tc>
          <w:tcPr>
            <w:tcW w:w="2749" w:type="dxa"/>
            <w:tcBorders>
              <w:top w:val="nil"/>
              <w:left w:val="nil"/>
              <w:bottom w:val="single" w:sz="12" w:space="0" w:color="C00000"/>
              <w:right w:val="nil"/>
            </w:tcBorders>
            <w:shd w:val="clear" w:color="000000" w:fill="F2F2F2"/>
            <w:vAlign w:val="center"/>
            <w:hideMark/>
          </w:tcPr>
          <w:p w14:paraId="4E1BABA6" w14:textId="049FB6DF" w:rsidR="00C45131" w:rsidRPr="00945F45" w:rsidRDefault="00C45131" w:rsidP="00945F45">
            <w:pPr>
              <w:jc w:val="center"/>
              <w:rPr>
                <w:rFonts w:ascii="Bahnschrift" w:eastAsia="Times New Roman" w:hAnsi="Bahnschrift" w:cs="Calibri"/>
                <w:b/>
                <w:bCs/>
                <w:color w:val="595959"/>
              </w:rPr>
            </w:pPr>
            <w:r w:rsidRPr="00945F45">
              <w:rPr>
                <w:rFonts w:ascii="Bahnschrift" w:eastAsia="Times New Roman" w:hAnsi="Bahnschrift" w:cs="Calibri"/>
                <w:b/>
                <w:bCs/>
                <w:color w:val="595959"/>
              </w:rPr>
              <w:t>Viti 202</w:t>
            </w:r>
            <w:r>
              <w:rPr>
                <w:rFonts w:ascii="Bahnschrift" w:eastAsia="Times New Roman" w:hAnsi="Bahnschrift" w:cs="Calibri"/>
                <w:b/>
                <w:bCs/>
                <w:color w:val="595959"/>
              </w:rPr>
              <w:t>4</w:t>
            </w:r>
          </w:p>
        </w:tc>
      </w:tr>
      <w:tr w:rsidR="00C45131" w:rsidRPr="00945F45" w14:paraId="20B0511B"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2E793DA6"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Popullësia totale nën administrimin e bashkisë</w:t>
            </w:r>
          </w:p>
        </w:tc>
        <w:tc>
          <w:tcPr>
            <w:tcW w:w="2749" w:type="dxa"/>
            <w:tcBorders>
              <w:top w:val="nil"/>
              <w:left w:val="nil"/>
              <w:bottom w:val="single" w:sz="4" w:space="0" w:color="C00000"/>
              <w:right w:val="nil"/>
            </w:tcBorders>
            <w:shd w:val="clear" w:color="000000" w:fill="F2F2F2"/>
            <w:noWrap/>
            <w:vAlign w:val="center"/>
            <w:hideMark/>
          </w:tcPr>
          <w:p w14:paraId="2652B98A" w14:textId="21B07B95" w:rsidR="00C45131" w:rsidRPr="00945F45" w:rsidRDefault="00D77ADA" w:rsidP="00945F45">
            <w:pPr>
              <w:jc w:val="center"/>
              <w:rPr>
                <w:rFonts w:ascii="Bahnschrift" w:eastAsia="Times New Roman" w:hAnsi="Bahnschrift" w:cs="Calibri"/>
                <w:color w:val="595959"/>
              </w:rPr>
            </w:pPr>
            <w:r>
              <w:rPr>
                <w:rFonts w:ascii="Bahnschrift" w:eastAsia="Times New Roman" w:hAnsi="Bahnschrift" w:cs="Calibri"/>
                <w:color w:val="595959"/>
              </w:rPr>
              <w:t>42</w:t>
            </w:r>
            <w:r w:rsidR="00086459">
              <w:rPr>
                <w:rFonts w:ascii="Bahnschrift" w:eastAsia="Times New Roman" w:hAnsi="Bahnschrift" w:cs="Calibri"/>
                <w:color w:val="595959"/>
              </w:rPr>
              <w:t>,</w:t>
            </w:r>
            <w:bookmarkStart w:id="5" w:name="_GoBack"/>
            <w:bookmarkEnd w:id="5"/>
            <w:r>
              <w:rPr>
                <w:rFonts w:ascii="Bahnschrift" w:eastAsia="Times New Roman" w:hAnsi="Bahnschrift" w:cs="Calibri"/>
                <w:color w:val="595959"/>
              </w:rPr>
              <w:t>993</w:t>
            </w:r>
          </w:p>
        </w:tc>
      </w:tr>
      <w:tr w:rsidR="00C45131" w:rsidRPr="00945F45" w14:paraId="6E019DA9"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FF002D9" w14:textId="77777777"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Sipërfaqja totale e bashkisë (në km2)</w:t>
            </w:r>
          </w:p>
        </w:tc>
        <w:tc>
          <w:tcPr>
            <w:tcW w:w="2749" w:type="dxa"/>
            <w:tcBorders>
              <w:top w:val="nil"/>
              <w:left w:val="nil"/>
              <w:bottom w:val="single" w:sz="4" w:space="0" w:color="C00000"/>
              <w:right w:val="nil"/>
            </w:tcBorders>
            <w:shd w:val="clear" w:color="000000" w:fill="F2F2F2"/>
            <w:noWrap/>
            <w:vAlign w:val="center"/>
            <w:hideMark/>
          </w:tcPr>
          <w:p w14:paraId="2B684519" w14:textId="0EFD687E" w:rsidR="00C45131" w:rsidRPr="00945F45" w:rsidRDefault="00D77ADA" w:rsidP="00945F45">
            <w:pPr>
              <w:jc w:val="center"/>
              <w:rPr>
                <w:rFonts w:ascii="Bahnschrift" w:eastAsia="Times New Roman" w:hAnsi="Bahnschrift" w:cs="Calibri"/>
                <w:color w:val="595959"/>
              </w:rPr>
            </w:pPr>
            <w:r>
              <w:rPr>
                <w:rFonts w:ascii="Bahnschrift" w:eastAsia="Times New Roman" w:hAnsi="Bahnschrift" w:cs="Calibri"/>
                <w:color w:val="595959"/>
              </w:rPr>
              <w:t>793,36</w:t>
            </w:r>
          </w:p>
        </w:tc>
      </w:tr>
      <w:tr w:rsidR="00C45131" w:rsidRPr="00945F45" w14:paraId="3C0505FB"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4F0A400C"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Sipërfaqe publike e bashkisë në km2</w:t>
            </w:r>
          </w:p>
        </w:tc>
        <w:tc>
          <w:tcPr>
            <w:tcW w:w="2749" w:type="dxa"/>
            <w:tcBorders>
              <w:top w:val="nil"/>
              <w:left w:val="nil"/>
              <w:bottom w:val="single" w:sz="4" w:space="0" w:color="C00000"/>
              <w:right w:val="nil"/>
            </w:tcBorders>
            <w:shd w:val="clear" w:color="000000" w:fill="F2F2F2"/>
            <w:noWrap/>
            <w:vAlign w:val="center"/>
            <w:hideMark/>
          </w:tcPr>
          <w:p w14:paraId="6BCD091D" w14:textId="08652572" w:rsidR="00C45131" w:rsidRPr="004E12B4" w:rsidRDefault="00C45131" w:rsidP="00945F45">
            <w:pPr>
              <w:jc w:val="center"/>
              <w:rPr>
                <w:rFonts w:ascii="Bahnschrift" w:eastAsia="Times New Roman" w:hAnsi="Bahnschrift" w:cs="Calibri"/>
                <w:color w:val="595959"/>
                <w:highlight w:val="yellow"/>
              </w:rPr>
            </w:pPr>
            <w:r w:rsidRPr="005803A2">
              <w:rPr>
                <w:rFonts w:ascii="Bahnschrift" w:eastAsia="Times New Roman" w:hAnsi="Bahnschrift" w:cs="Calibri"/>
                <w:color w:val="595959"/>
              </w:rPr>
              <w:t> </w:t>
            </w:r>
            <w:r w:rsidR="00D50E99" w:rsidRPr="005803A2">
              <w:rPr>
                <w:rFonts w:ascii="Bahnschrift" w:eastAsia="Times New Roman" w:hAnsi="Bahnschrift" w:cs="Calibri"/>
                <w:color w:val="595959"/>
              </w:rPr>
              <w:t>2</w:t>
            </w:r>
            <w:r w:rsidR="005803A2" w:rsidRPr="005803A2">
              <w:rPr>
                <w:rFonts w:ascii="Bahnschrift" w:eastAsia="Times New Roman" w:hAnsi="Bahnschrift" w:cs="Calibri"/>
                <w:color w:val="595959"/>
              </w:rPr>
              <w:t>km</w:t>
            </w:r>
            <w:r w:rsidR="005803A2" w:rsidRPr="005803A2">
              <w:rPr>
                <w:rFonts w:ascii="Bahnschrift" w:eastAsia="Times New Roman" w:hAnsi="Bahnschrift" w:cs="Calibri"/>
                <w:color w:val="595959"/>
                <w:vertAlign w:val="superscript"/>
              </w:rPr>
              <w:t>2</w:t>
            </w:r>
            <w:r w:rsidR="004E12B4" w:rsidRPr="005803A2">
              <w:rPr>
                <w:rFonts w:ascii="Bahnschrift" w:eastAsia="Times New Roman" w:hAnsi="Bahnschrift" w:cs="Calibri"/>
                <w:color w:val="595959"/>
              </w:rPr>
              <w:t xml:space="preserve"> </w:t>
            </w:r>
          </w:p>
        </w:tc>
      </w:tr>
      <w:tr w:rsidR="00C45131" w:rsidRPr="00945F45" w14:paraId="423EB98C"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27C337EA"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Sipërfaqja e njësive administrative në total</w:t>
            </w:r>
          </w:p>
        </w:tc>
        <w:tc>
          <w:tcPr>
            <w:tcW w:w="2749" w:type="dxa"/>
            <w:tcBorders>
              <w:top w:val="nil"/>
              <w:left w:val="nil"/>
              <w:bottom w:val="single" w:sz="4" w:space="0" w:color="C00000"/>
              <w:right w:val="nil"/>
            </w:tcBorders>
            <w:shd w:val="clear" w:color="000000" w:fill="F2F2F2"/>
            <w:noWrap/>
            <w:vAlign w:val="center"/>
            <w:hideMark/>
          </w:tcPr>
          <w:p w14:paraId="0D1CF820" w14:textId="3E73815E" w:rsidR="00C45131" w:rsidRPr="00945F45" w:rsidRDefault="00D77ADA" w:rsidP="00945F45">
            <w:pPr>
              <w:jc w:val="center"/>
              <w:rPr>
                <w:rFonts w:ascii="Bahnschrift" w:eastAsia="Times New Roman" w:hAnsi="Bahnschrift" w:cs="Calibri"/>
                <w:color w:val="595959"/>
              </w:rPr>
            </w:pPr>
            <w:r>
              <w:rPr>
                <w:rFonts w:ascii="Bahnschrift" w:eastAsia="Times New Roman" w:hAnsi="Bahnschrift" w:cs="Calibri"/>
                <w:color w:val="595959"/>
              </w:rPr>
              <w:t>791,36</w:t>
            </w:r>
          </w:p>
        </w:tc>
      </w:tr>
      <w:tr w:rsidR="00C45131" w:rsidRPr="00945F45" w14:paraId="544B9055"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7B60F983" w14:textId="6D81C9AE"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 xml:space="preserve">Sipërfaqe totale e fondit pyjor </w:t>
            </w:r>
            <w:r w:rsidR="00D50E99">
              <w:rPr>
                <w:rFonts w:ascii="Bahnschrift" w:eastAsia="Times New Roman" w:hAnsi="Bahnschrift" w:cs="Calibri"/>
                <w:color w:val="595959"/>
                <w:lang w:val="it-IT"/>
              </w:rPr>
              <w:t>dhe kullosor</w:t>
            </w:r>
            <w:r w:rsidRPr="00BD74CF">
              <w:rPr>
                <w:rFonts w:ascii="Bahnschrift" w:eastAsia="Times New Roman" w:hAnsi="Bahnschrift" w:cs="Calibri"/>
                <w:color w:val="595959"/>
                <w:lang w:val="it-IT"/>
              </w:rPr>
              <w:t>(në ha)</w:t>
            </w:r>
          </w:p>
        </w:tc>
        <w:tc>
          <w:tcPr>
            <w:tcW w:w="2749" w:type="dxa"/>
            <w:tcBorders>
              <w:top w:val="nil"/>
              <w:left w:val="nil"/>
              <w:bottom w:val="single" w:sz="4" w:space="0" w:color="C00000"/>
              <w:right w:val="nil"/>
            </w:tcBorders>
            <w:shd w:val="clear" w:color="000000" w:fill="F2F2F2"/>
            <w:noWrap/>
            <w:vAlign w:val="center"/>
            <w:hideMark/>
          </w:tcPr>
          <w:p w14:paraId="28D1580B" w14:textId="0DC3B529" w:rsidR="00C45131" w:rsidRPr="00945F45" w:rsidRDefault="00EC3759" w:rsidP="00945F45">
            <w:pPr>
              <w:jc w:val="center"/>
              <w:rPr>
                <w:rFonts w:ascii="Bahnschrift" w:eastAsia="Times New Roman" w:hAnsi="Bahnschrift" w:cs="Calibri"/>
                <w:color w:val="595959"/>
              </w:rPr>
            </w:pPr>
            <w:r>
              <w:rPr>
                <w:rFonts w:ascii="Bahnschrift" w:eastAsia="Times New Roman" w:hAnsi="Bahnschrift" w:cs="Calibri"/>
                <w:color w:val="595959"/>
              </w:rPr>
              <w:t>3,4520</w:t>
            </w:r>
          </w:p>
        </w:tc>
      </w:tr>
      <w:tr w:rsidR="00C45131" w:rsidRPr="00BD74CF" w14:paraId="4F386648"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291447B2" w14:textId="77777777"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Sipërfaqja e tokës bujqësore (në ha)</w:t>
            </w:r>
          </w:p>
        </w:tc>
        <w:tc>
          <w:tcPr>
            <w:tcW w:w="2749" w:type="dxa"/>
            <w:tcBorders>
              <w:top w:val="nil"/>
              <w:left w:val="nil"/>
              <w:bottom w:val="single" w:sz="4" w:space="0" w:color="C00000"/>
              <w:right w:val="nil"/>
            </w:tcBorders>
            <w:shd w:val="clear" w:color="000000" w:fill="F2F2F2"/>
            <w:noWrap/>
            <w:vAlign w:val="center"/>
            <w:hideMark/>
          </w:tcPr>
          <w:p w14:paraId="539F3590" w14:textId="6DADE8F2" w:rsidR="00C45131" w:rsidRPr="00BD74CF" w:rsidRDefault="00EC3759" w:rsidP="00945F45">
            <w:pPr>
              <w:jc w:val="center"/>
              <w:rPr>
                <w:rFonts w:ascii="Bahnschrift" w:eastAsia="Times New Roman" w:hAnsi="Bahnschrift" w:cs="Calibri"/>
                <w:color w:val="595959"/>
                <w:lang w:val="it-IT"/>
              </w:rPr>
            </w:pPr>
            <w:r>
              <w:rPr>
                <w:rFonts w:ascii="Bahnschrift" w:eastAsia="Times New Roman" w:hAnsi="Bahnschrift" w:cs="Calibri"/>
                <w:color w:val="595959"/>
                <w:lang w:val="it-IT"/>
              </w:rPr>
              <w:t>9678</w:t>
            </w:r>
          </w:p>
        </w:tc>
      </w:tr>
      <w:tr w:rsidR="00C45131" w:rsidRPr="00945F45" w14:paraId="77A14537"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41B8AB7A"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total i njësive administrative të bashkisë</w:t>
            </w:r>
          </w:p>
        </w:tc>
        <w:tc>
          <w:tcPr>
            <w:tcW w:w="2749" w:type="dxa"/>
            <w:tcBorders>
              <w:top w:val="nil"/>
              <w:left w:val="nil"/>
              <w:bottom w:val="single" w:sz="4" w:space="0" w:color="C00000"/>
              <w:right w:val="nil"/>
            </w:tcBorders>
            <w:shd w:val="clear" w:color="000000" w:fill="F2F2F2"/>
            <w:noWrap/>
            <w:vAlign w:val="center"/>
            <w:hideMark/>
          </w:tcPr>
          <w:p w14:paraId="7415ABF0" w14:textId="61532126" w:rsidR="00C45131" w:rsidRPr="00945F45" w:rsidRDefault="00EC3759" w:rsidP="00945F45">
            <w:pPr>
              <w:jc w:val="center"/>
              <w:rPr>
                <w:rFonts w:ascii="Bahnschrift" w:eastAsia="Times New Roman" w:hAnsi="Bahnschrift" w:cs="Calibri"/>
                <w:color w:val="595959"/>
              </w:rPr>
            </w:pPr>
            <w:r>
              <w:rPr>
                <w:rFonts w:ascii="Bahnschrift" w:eastAsia="Times New Roman" w:hAnsi="Bahnschrift" w:cs="Calibri"/>
                <w:color w:val="595959"/>
              </w:rPr>
              <w:t>7</w:t>
            </w:r>
          </w:p>
        </w:tc>
      </w:tr>
      <w:tr w:rsidR="00C45131" w:rsidRPr="00945F45" w14:paraId="6583D719"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0E94CCA"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i fshatrave</w:t>
            </w:r>
          </w:p>
        </w:tc>
        <w:tc>
          <w:tcPr>
            <w:tcW w:w="2749" w:type="dxa"/>
            <w:tcBorders>
              <w:top w:val="nil"/>
              <w:left w:val="nil"/>
              <w:bottom w:val="single" w:sz="4" w:space="0" w:color="C00000"/>
              <w:right w:val="nil"/>
            </w:tcBorders>
            <w:shd w:val="clear" w:color="000000" w:fill="F2F2F2"/>
            <w:noWrap/>
            <w:vAlign w:val="center"/>
            <w:hideMark/>
          </w:tcPr>
          <w:p w14:paraId="1D11EE6D" w14:textId="794B8594" w:rsidR="00C45131" w:rsidRPr="00945F45" w:rsidRDefault="00EC3759" w:rsidP="00945F45">
            <w:pPr>
              <w:jc w:val="center"/>
              <w:rPr>
                <w:rFonts w:ascii="Bahnschrift" w:eastAsia="Times New Roman" w:hAnsi="Bahnschrift" w:cs="Calibri"/>
                <w:color w:val="595959"/>
              </w:rPr>
            </w:pPr>
            <w:r>
              <w:rPr>
                <w:rFonts w:ascii="Bahnschrift" w:eastAsia="Times New Roman" w:hAnsi="Bahnschrift" w:cs="Calibri"/>
                <w:color w:val="595959"/>
              </w:rPr>
              <w:t>52</w:t>
            </w:r>
          </w:p>
        </w:tc>
      </w:tr>
      <w:tr w:rsidR="00C45131" w:rsidRPr="00945F45" w14:paraId="42B5F8CD"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DDFC130"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Punonjës të bashkisë në total</w:t>
            </w:r>
          </w:p>
        </w:tc>
        <w:tc>
          <w:tcPr>
            <w:tcW w:w="2749" w:type="dxa"/>
            <w:tcBorders>
              <w:top w:val="nil"/>
              <w:left w:val="nil"/>
              <w:bottom w:val="single" w:sz="4" w:space="0" w:color="C00000"/>
              <w:right w:val="nil"/>
            </w:tcBorders>
            <w:shd w:val="clear" w:color="000000" w:fill="F2F2F2"/>
            <w:noWrap/>
            <w:vAlign w:val="center"/>
            <w:hideMark/>
          </w:tcPr>
          <w:p w14:paraId="0363931A" w14:textId="50FA7155" w:rsidR="00C45131" w:rsidRPr="00945F45" w:rsidRDefault="00EC3759" w:rsidP="00945F45">
            <w:pPr>
              <w:jc w:val="center"/>
              <w:rPr>
                <w:rFonts w:ascii="Bahnschrift" w:eastAsia="Times New Roman" w:hAnsi="Bahnschrift" w:cs="Calibri"/>
                <w:color w:val="595959"/>
              </w:rPr>
            </w:pPr>
            <w:r>
              <w:rPr>
                <w:rFonts w:ascii="Bahnschrift" w:eastAsia="Times New Roman" w:hAnsi="Bahnschrift" w:cs="Calibri"/>
                <w:color w:val="595959"/>
              </w:rPr>
              <w:t>440</w:t>
            </w:r>
          </w:p>
        </w:tc>
      </w:tr>
      <w:tr w:rsidR="00C45131" w:rsidRPr="00945F45" w14:paraId="4244BE8A"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5A169F85" w14:textId="77777777"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Numri total i punonjëseve femra të bashkisë</w:t>
            </w:r>
          </w:p>
        </w:tc>
        <w:tc>
          <w:tcPr>
            <w:tcW w:w="2749" w:type="dxa"/>
            <w:tcBorders>
              <w:top w:val="nil"/>
              <w:left w:val="nil"/>
              <w:bottom w:val="single" w:sz="4" w:space="0" w:color="C00000"/>
              <w:right w:val="nil"/>
            </w:tcBorders>
            <w:shd w:val="clear" w:color="000000" w:fill="F2F2F2"/>
            <w:noWrap/>
            <w:vAlign w:val="center"/>
            <w:hideMark/>
          </w:tcPr>
          <w:p w14:paraId="12AFF1F8" w14:textId="510B1A9B" w:rsidR="00C45131" w:rsidRPr="00945F45" w:rsidRDefault="00EC3759" w:rsidP="00945F45">
            <w:pPr>
              <w:jc w:val="center"/>
              <w:rPr>
                <w:rFonts w:ascii="Bahnschrift" w:eastAsia="Times New Roman" w:hAnsi="Bahnschrift" w:cs="Calibri"/>
                <w:color w:val="595959"/>
              </w:rPr>
            </w:pPr>
            <w:r>
              <w:rPr>
                <w:rFonts w:ascii="Bahnschrift" w:eastAsia="Times New Roman" w:hAnsi="Bahnschrift" w:cs="Calibri"/>
                <w:color w:val="595959"/>
              </w:rPr>
              <w:t>213</w:t>
            </w:r>
          </w:p>
        </w:tc>
      </w:tr>
      <w:tr w:rsidR="00C45131" w:rsidRPr="00945F45" w14:paraId="27309D29"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624E93D1"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total i punonjësve meshkuj të bashkisë</w:t>
            </w:r>
          </w:p>
        </w:tc>
        <w:tc>
          <w:tcPr>
            <w:tcW w:w="2749" w:type="dxa"/>
            <w:tcBorders>
              <w:top w:val="nil"/>
              <w:left w:val="nil"/>
              <w:bottom w:val="single" w:sz="4" w:space="0" w:color="C00000"/>
              <w:right w:val="nil"/>
            </w:tcBorders>
            <w:shd w:val="clear" w:color="000000" w:fill="F2F2F2"/>
            <w:noWrap/>
            <w:vAlign w:val="center"/>
            <w:hideMark/>
          </w:tcPr>
          <w:p w14:paraId="108CF5DE" w14:textId="4D75CD94" w:rsidR="00C45131" w:rsidRPr="00945F45" w:rsidRDefault="00EC3759" w:rsidP="00EC3759">
            <w:pPr>
              <w:rPr>
                <w:rFonts w:ascii="Bahnschrift" w:eastAsia="Times New Roman" w:hAnsi="Bahnschrift" w:cs="Calibri"/>
                <w:color w:val="595959"/>
              </w:rPr>
            </w:pPr>
            <w:r>
              <w:rPr>
                <w:rFonts w:ascii="Bahnschrift" w:eastAsia="Times New Roman" w:hAnsi="Bahnschrift" w:cs="Calibri"/>
                <w:color w:val="595959"/>
              </w:rPr>
              <w:t xml:space="preserve">                    227</w:t>
            </w:r>
          </w:p>
        </w:tc>
      </w:tr>
      <w:tr w:rsidR="00C45131" w:rsidRPr="00945F45" w14:paraId="5780BF7D"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F0A0830"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total i punonjësve që punojnë për administratën e bashkisë</w:t>
            </w:r>
          </w:p>
        </w:tc>
        <w:tc>
          <w:tcPr>
            <w:tcW w:w="2749" w:type="dxa"/>
            <w:tcBorders>
              <w:top w:val="nil"/>
              <w:left w:val="nil"/>
              <w:bottom w:val="single" w:sz="4" w:space="0" w:color="C00000"/>
              <w:right w:val="nil"/>
            </w:tcBorders>
            <w:shd w:val="clear" w:color="000000" w:fill="F2F2F2"/>
            <w:noWrap/>
            <w:vAlign w:val="center"/>
            <w:hideMark/>
          </w:tcPr>
          <w:p w14:paraId="3B28237D" w14:textId="765E5862" w:rsidR="00C45131" w:rsidRPr="00945F45" w:rsidRDefault="00EC3759" w:rsidP="00945F45">
            <w:pPr>
              <w:jc w:val="center"/>
              <w:rPr>
                <w:rFonts w:ascii="Bahnschrift" w:eastAsia="Times New Roman" w:hAnsi="Bahnschrift" w:cs="Calibri"/>
                <w:color w:val="595959"/>
              </w:rPr>
            </w:pPr>
            <w:r>
              <w:rPr>
                <w:rFonts w:ascii="Bahnschrift" w:eastAsia="Times New Roman" w:hAnsi="Bahnschrift" w:cs="Calibri"/>
                <w:color w:val="595959"/>
              </w:rPr>
              <w:t>440</w:t>
            </w:r>
          </w:p>
        </w:tc>
      </w:tr>
    </w:tbl>
    <w:p w14:paraId="7A87C71A" w14:textId="77777777" w:rsidR="00945F45" w:rsidRDefault="00945F45" w:rsidP="002F4F74">
      <w:pPr>
        <w:spacing w:before="360" w:after="360"/>
        <w:jc w:val="both"/>
        <w:divId w:val="337848698"/>
        <w:rPr>
          <w:i/>
          <w:iCs/>
          <w:color w:val="FF0000"/>
        </w:rPr>
      </w:pPr>
    </w:p>
    <w:p w14:paraId="378050A3" w14:textId="76F56BCB" w:rsidR="00A9345F" w:rsidRDefault="00A9345F" w:rsidP="00206F67">
      <w:pPr>
        <w:pStyle w:val="Heading2"/>
        <w:shd w:val="clear" w:color="auto" w:fill="C00000"/>
        <w:rPr>
          <w:rFonts w:eastAsia="Times New Roman"/>
          <w:color w:val="FFFFFF"/>
          <w:sz w:val="72"/>
          <w:szCs w:val="72"/>
        </w:rPr>
      </w:pPr>
      <w:bookmarkStart w:id="6" w:name="_Toc209362160"/>
      <w:r w:rsidRPr="00A9345F">
        <w:rPr>
          <w:rFonts w:eastAsia="Times New Roman"/>
          <w:color w:val="FFFFFF"/>
          <w:sz w:val="72"/>
          <w:szCs w:val="72"/>
        </w:rPr>
        <w:t>SHERBIME PUBLIKE VENDORE</w:t>
      </w:r>
      <w:bookmarkEnd w:id="6"/>
    </w:p>
    <w:p w14:paraId="42DC3F1C" w14:textId="3BB435DF" w:rsidR="00CF0D09" w:rsidRPr="00CF0D09" w:rsidRDefault="00CF0D09" w:rsidP="00CF0D09">
      <w:pPr>
        <w:spacing w:beforeAutospacing="1" w:after="100" w:afterAutospacing="1"/>
        <w:rPr>
          <w:rFonts w:ascii="Bahnschrift" w:hAnsi="Bahnschrift"/>
          <w:sz w:val="22"/>
          <w:szCs w:val="22"/>
        </w:rPr>
      </w:pPr>
      <w:proofErr w:type="gramStart"/>
      <w:r w:rsidRPr="00CF0D09">
        <w:rPr>
          <w:rFonts w:ascii="Bahnschrift" w:hAnsi="Bahnschrift"/>
          <w:sz w:val="22"/>
          <w:szCs w:val="22"/>
        </w:rPr>
        <w:t>Ky</w:t>
      </w:r>
      <w:proofErr w:type="gramEnd"/>
      <w:r w:rsidRPr="00CF0D09">
        <w:rPr>
          <w:rFonts w:ascii="Bahnschrift" w:hAnsi="Bahnschrift"/>
          <w:sz w:val="22"/>
          <w:szCs w:val="22"/>
        </w:rPr>
        <w:t xml:space="preserve"> kapitull paraqet performancën e bashkisë në ofrimin e shërbimeve publike vendore, të cilat përbëjnë thelbin e përgjegjësive të saj sipas Ligjit nr. </w:t>
      </w:r>
      <w:proofErr w:type="gramStart"/>
      <w:r w:rsidRPr="00CF0D09">
        <w:rPr>
          <w:rFonts w:ascii="Bahnschrift" w:hAnsi="Bahnschrift"/>
          <w:sz w:val="22"/>
          <w:szCs w:val="22"/>
        </w:rPr>
        <w:t>139/2015 “Për vetëqeverisjen vendore”.</w:t>
      </w:r>
      <w:proofErr w:type="gramEnd"/>
      <w:r w:rsidRPr="00CF0D09">
        <w:rPr>
          <w:rFonts w:ascii="Bahnschrift" w:hAnsi="Bahnschrift"/>
          <w:sz w:val="22"/>
          <w:szCs w:val="22"/>
        </w:rPr>
        <w:t xml:space="preserve"> Në këtë kuadër, janë trajtuar gjashtë fusha kryesore</w:t>
      </w:r>
      <w:r>
        <w:rPr>
          <w:rFonts w:ascii="Bahnschrift" w:hAnsi="Bahnschrift"/>
          <w:sz w:val="22"/>
          <w:szCs w:val="22"/>
        </w:rPr>
        <w:t xml:space="preserve"> te aprovuara edhe ne kuader te raportit </w:t>
      </w:r>
      <w:r>
        <w:rPr>
          <w:rFonts w:ascii="Bahnschrift" w:hAnsi="Bahnschrift"/>
          <w:sz w:val="22"/>
          <w:szCs w:val="22"/>
        </w:rPr>
        <w:lastRenderedPageBreak/>
        <w:t>kombetar te performances bashkiake</w:t>
      </w:r>
      <w:r w:rsidRPr="00CF0D09">
        <w:rPr>
          <w:rFonts w:ascii="Bahnschrift" w:hAnsi="Bahnschrift"/>
          <w:sz w:val="22"/>
          <w:szCs w:val="22"/>
        </w:rPr>
        <w:t xml:space="preserve">, që përfshijnë gjithsej </w:t>
      </w:r>
      <w:r>
        <w:rPr>
          <w:rFonts w:ascii="Bahnschrift" w:hAnsi="Bahnschrift"/>
          <w:sz w:val="22"/>
          <w:szCs w:val="22"/>
        </w:rPr>
        <w:t>10 funksione</w:t>
      </w:r>
      <w:r w:rsidRPr="00CF0D09">
        <w:rPr>
          <w:rFonts w:ascii="Bahnschrift" w:hAnsi="Bahnschrift"/>
          <w:sz w:val="22"/>
          <w:szCs w:val="22"/>
        </w:rPr>
        <w:t>: arsimi parauniversitar (ku hyjnë çerdhet, arsimi parashkollor dhe infrastruktura e godinave arsimore), ujitja dhe kullimi, administrimi i pyjeve dhe kullotave, menaxhimi i mbetjeve, mbrojtja nga zjarri</w:t>
      </w:r>
      <w:r>
        <w:rPr>
          <w:rFonts w:ascii="Bahnschrift" w:hAnsi="Bahnschrift"/>
          <w:sz w:val="22"/>
          <w:szCs w:val="22"/>
        </w:rPr>
        <w:t>,</w:t>
      </w:r>
      <w:r w:rsidRPr="00CF0D09">
        <w:rPr>
          <w:rFonts w:ascii="Bahnschrift" w:hAnsi="Bahnschrift"/>
          <w:sz w:val="22"/>
          <w:szCs w:val="22"/>
        </w:rPr>
        <w:t xml:space="preserve"> mbrojtja civile, si dhe mbrojtja sociale, e cila përfshin katër shërbime të detyrueshme sipas nenit 24 të ligjit.</w:t>
      </w:r>
    </w:p>
    <w:p w14:paraId="166DDEAE" w14:textId="648F75B5" w:rsidR="00CF0D09" w:rsidRPr="00CF0D09" w:rsidRDefault="00CF0D09" w:rsidP="00CF0D09">
      <w:pPr>
        <w:spacing w:beforeAutospacing="1" w:after="100" w:afterAutospacing="1"/>
        <w:rPr>
          <w:rFonts w:ascii="Bahnschrift" w:hAnsi="Bahnschrift"/>
          <w:sz w:val="22"/>
          <w:szCs w:val="22"/>
        </w:rPr>
      </w:pPr>
      <w:r w:rsidRPr="00CF0D09">
        <w:rPr>
          <w:rFonts w:ascii="Bahnschrift" w:hAnsi="Bahnschrift"/>
          <w:sz w:val="22"/>
          <w:szCs w:val="22"/>
        </w:rPr>
        <w:t>Matja e performancës në këto fusha bazohet në tregues të standardizuar</w:t>
      </w:r>
      <w:r>
        <w:rPr>
          <w:rFonts w:ascii="Bahnschrift" w:hAnsi="Bahnschrift"/>
          <w:sz w:val="22"/>
          <w:szCs w:val="22"/>
        </w:rPr>
        <w:t xml:space="preserve"> sipas SMP Kombetar, tregues te tjere vendor qe </w:t>
      </w:r>
      <w:proofErr w:type="gramStart"/>
      <w:r>
        <w:rPr>
          <w:rFonts w:ascii="Bahnschrift" w:hAnsi="Bahnschrift"/>
          <w:sz w:val="22"/>
          <w:szCs w:val="22"/>
        </w:rPr>
        <w:t>jane</w:t>
      </w:r>
      <w:proofErr w:type="gramEnd"/>
      <w:r>
        <w:rPr>
          <w:rFonts w:ascii="Bahnschrift" w:hAnsi="Bahnschrift"/>
          <w:sz w:val="22"/>
          <w:szCs w:val="22"/>
        </w:rPr>
        <w:t xml:space="preserve"> perzgjedhur nga bashkia, si dhe</w:t>
      </w:r>
      <w:r w:rsidRPr="00CF0D09">
        <w:rPr>
          <w:rFonts w:ascii="Bahnschrift" w:hAnsi="Bahnschrift"/>
          <w:sz w:val="22"/>
          <w:szCs w:val="22"/>
        </w:rPr>
        <w:t xml:space="preserve"> dhe nën-tregues të detajuar, të cilët ofrojnë një pasqyrë të qartë mbi aksesin e qytetarëve në shërbime, cilësinë dhe kapacitetet e tyre, si dhe barazinë në ofrim ndërmjet grupeve të ndryshme shoqërore. </w:t>
      </w:r>
      <w:proofErr w:type="gramStart"/>
      <w:r w:rsidRPr="00CF0D09">
        <w:rPr>
          <w:rFonts w:ascii="Bahnschrift" w:hAnsi="Bahnschrift"/>
          <w:sz w:val="22"/>
          <w:szCs w:val="22"/>
        </w:rPr>
        <w:t>Përmes këtij sistemi, bashkia ka mundësi të identifikojë përparimet e arritura, sfidat e mbetura dhe nevojat për përmirësim në ofrimin e shërbimeve themelore për komunitetin.</w:t>
      </w:r>
      <w:proofErr w:type="gramEnd"/>
    </w:p>
    <w:p w14:paraId="3A5693C7" w14:textId="63305D16" w:rsidR="00DF6179" w:rsidRPr="00206F67" w:rsidRDefault="00DF6179" w:rsidP="00DF6179">
      <w:pPr>
        <w:rPr>
          <w:rFonts w:eastAsia="Times New Roman"/>
        </w:rPr>
      </w:pPr>
    </w:p>
    <w:p w14:paraId="6F34AE71" w14:textId="294867A5" w:rsidR="000F23B1" w:rsidRPr="00212134" w:rsidRDefault="005A1AE1" w:rsidP="00904F51">
      <w:pPr>
        <w:pStyle w:val="Heading2"/>
        <w:shd w:val="clear" w:color="auto" w:fill="C00000"/>
        <w:rPr>
          <w:rFonts w:ascii="Bahnschrift" w:eastAsia="Times New Roman" w:hAnsi="Bahnschrift"/>
          <w:color w:val="FF0000"/>
        </w:rPr>
      </w:pPr>
      <w:bookmarkStart w:id="7" w:name="_Toc209362161"/>
      <w:r w:rsidRPr="001B07B6">
        <w:rPr>
          <w:rFonts w:ascii="Segoe UI Emoji" w:hAnsi="Segoe UI Emoji" w:cs="Segoe UI Emoji"/>
          <w:b/>
          <w:color w:val="D9E2F3" w:themeColor="accent1" w:themeTint="33"/>
          <w:sz w:val="80"/>
          <w:szCs w:val="80"/>
        </w:rPr>
        <w:t>📚</w:t>
      </w:r>
      <w:r>
        <w:rPr>
          <w:rFonts w:ascii="Bahnschrift" w:eastAsia="Times New Roman" w:hAnsi="Bahnschrift"/>
          <w:color w:val="FF0000"/>
        </w:rPr>
        <w:t xml:space="preserve"> </w:t>
      </w:r>
      <w:r w:rsidR="00212134" w:rsidRPr="00904F51">
        <w:rPr>
          <w:rFonts w:ascii="Bahnschrift" w:eastAsia="Times New Roman" w:hAnsi="Bahnschrift"/>
          <w:color w:val="FFFFFF" w:themeColor="background1"/>
          <w:sz w:val="56"/>
          <w:szCs w:val="56"/>
        </w:rPr>
        <w:t>Arsimi Paraniversitar</w:t>
      </w:r>
      <w:bookmarkEnd w:id="7"/>
    </w:p>
    <w:p w14:paraId="1DEEC3EF" w14:textId="77777777" w:rsidR="002610F1" w:rsidRDefault="002610F1" w:rsidP="00206F67">
      <w:pPr>
        <w:spacing w:beforeAutospacing="1" w:after="100" w:afterAutospacing="1"/>
        <w:rPr>
          <w:rFonts w:ascii="Bahnschrift" w:hAnsi="Bahnschrift"/>
          <w:sz w:val="22"/>
          <w:szCs w:val="22"/>
        </w:rPr>
      </w:pPr>
      <w:r w:rsidRPr="005648A1">
        <w:rPr>
          <w:rFonts w:ascii="Bahnschrift" w:hAnsi="Bahnschrift"/>
          <w:b/>
          <w:bCs/>
          <w:sz w:val="22"/>
          <w:szCs w:val="22"/>
        </w:rPr>
        <w:t>Përshkrim i përgjithshëm:</w:t>
      </w:r>
      <w:r w:rsidRPr="002610F1">
        <w:rPr>
          <w:rFonts w:ascii="Bahnschrift" w:hAnsi="Bahnschrift"/>
          <w:sz w:val="22"/>
          <w:szCs w:val="22"/>
        </w:rPr>
        <w:t xml:space="preserve"> Arsimi parauniversitar në nivel vendor përfshin shërbimet e arsimit të hershëm (çerdhe dhe kopshte), arsimin bazë 9-vjeçar dhe arsimin e mesëm të përgjithshëm. </w:t>
      </w:r>
      <w:proofErr w:type="gramStart"/>
      <w:r w:rsidRPr="002610F1">
        <w:rPr>
          <w:rFonts w:ascii="Bahnschrift" w:hAnsi="Bahnschrift"/>
          <w:sz w:val="22"/>
          <w:szCs w:val="22"/>
        </w:rPr>
        <w:t>Kompetencat për administrimin dhe zhvillimin e këtij sektori janë të deleguara te njësitë e vetëqeverisjes vendore sipas Ligjit nr.</w:t>
      </w:r>
      <w:proofErr w:type="gramEnd"/>
      <w:r w:rsidRPr="002610F1">
        <w:rPr>
          <w:rFonts w:ascii="Bahnschrift" w:hAnsi="Bahnschrift"/>
          <w:sz w:val="22"/>
          <w:szCs w:val="22"/>
        </w:rPr>
        <w:t xml:space="preserve"> </w:t>
      </w:r>
      <w:proofErr w:type="gramStart"/>
      <w:r w:rsidRPr="002610F1">
        <w:rPr>
          <w:rFonts w:ascii="Bahnschrift" w:hAnsi="Bahnschrift"/>
          <w:sz w:val="22"/>
          <w:szCs w:val="22"/>
        </w:rPr>
        <w:t>139/2015 “Për vetëqeverisjen vendore”.</w:t>
      </w:r>
      <w:proofErr w:type="gramEnd"/>
      <w:r w:rsidRPr="002610F1">
        <w:rPr>
          <w:rFonts w:ascii="Bahnschrift" w:hAnsi="Bahnschrift"/>
          <w:sz w:val="22"/>
          <w:szCs w:val="22"/>
        </w:rPr>
        <w:t xml:space="preserve"> Dy funksionet kryesore që rregullojnë këtë fushë janë: </w:t>
      </w:r>
    </w:p>
    <w:p w14:paraId="77BD9117" w14:textId="77777777" w:rsidR="002610F1" w:rsidRDefault="002610F1" w:rsidP="00206F67">
      <w:pPr>
        <w:spacing w:beforeAutospacing="1" w:after="100" w:afterAutospacing="1"/>
        <w:rPr>
          <w:rFonts w:ascii="Bahnschrift" w:hAnsi="Bahnschrift"/>
          <w:sz w:val="22"/>
          <w:szCs w:val="22"/>
        </w:rPr>
      </w:pPr>
      <w:r w:rsidRPr="002610F1">
        <w:rPr>
          <w:rFonts w:ascii="Bahnschrift" w:hAnsi="Bahnschrift"/>
          <w:sz w:val="22"/>
          <w:szCs w:val="22"/>
        </w:rPr>
        <w:t xml:space="preserve"> - Funksioni 23.11: “Ndërtimin, rehabilitimin dhe mirëmbajtjen e ndërtesave arsimore të sistemit shkollor parauniversitar, me përjashtim të shkollave profesionale.”</w:t>
      </w:r>
    </w:p>
    <w:p w14:paraId="08FF7649" w14:textId="77777777" w:rsidR="002610F1" w:rsidRDefault="002610F1" w:rsidP="00206F67">
      <w:pPr>
        <w:spacing w:beforeAutospacing="1" w:after="100" w:afterAutospacing="1"/>
        <w:rPr>
          <w:rFonts w:ascii="Bahnschrift" w:hAnsi="Bahnschrift"/>
          <w:sz w:val="22"/>
          <w:szCs w:val="22"/>
        </w:rPr>
      </w:pPr>
      <w:r w:rsidRPr="002610F1">
        <w:rPr>
          <w:rFonts w:ascii="Bahnschrift" w:hAnsi="Bahnschrift"/>
          <w:sz w:val="22"/>
          <w:szCs w:val="22"/>
        </w:rPr>
        <w:t xml:space="preserve"> Funksioni 23.12: “Administrimin dhe rregullimin e sistemit arsimor parashkollor në kopshte dhe çerdhe.” </w:t>
      </w:r>
    </w:p>
    <w:p w14:paraId="01267EDD" w14:textId="788328CE" w:rsidR="002610F1" w:rsidRDefault="002610F1" w:rsidP="00206F67">
      <w:pPr>
        <w:spacing w:beforeAutospacing="1" w:after="100" w:afterAutospacing="1"/>
        <w:rPr>
          <w:rFonts w:ascii="Bahnschrift" w:hAnsi="Bahnschrift"/>
          <w:sz w:val="22"/>
          <w:szCs w:val="22"/>
        </w:rPr>
      </w:pPr>
      <w:proofErr w:type="gramStart"/>
      <w:r w:rsidRPr="002610F1">
        <w:rPr>
          <w:rFonts w:ascii="Bahnschrift" w:hAnsi="Bahnschrift"/>
          <w:sz w:val="22"/>
          <w:szCs w:val="22"/>
        </w:rPr>
        <w:t>Në këtë kuadër, bashkitë janë përgjegjëse njëkohësisht për aspektet infrastrukturore dhe menaxheriale të institucioneve arsimore nën juridiksionin e tyre.</w:t>
      </w:r>
      <w:proofErr w:type="gramEnd"/>
      <w:r w:rsidRPr="002610F1">
        <w:rPr>
          <w:rFonts w:ascii="Bahnschrift" w:hAnsi="Bahnschrift"/>
          <w:sz w:val="22"/>
          <w:szCs w:val="22"/>
        </w:rPr>
        <w:t xml:space="preserve"> </w:t>
      </w:r>
      <w:proofErr w:type="gramStart"/>
      <w:r w:rsidRPr="002610F1">
        <w:rPr>
          <w:rFonts w:ascii="Bahnschrift" w:hAnsi="Bahnschrift"/>
          <w:sz w:val="22"/>
          <w:szCs w:val="22"/>
        </w:rPr>
        <w:t>Kjo përfshin ndërtimin dhe mirëmbajtjen e objekteve shkollore (23.11), si dhe administrimin e plotë të sistemit parashkollor (kopshte dhe çerdhe) përmes funksionit 23.12, që përfshin menaxhimin e stafit ndihmës, mbështetjen logjistike dhe rregullimin funksional të shërbimit.</w:t>
      </w:r>
      <w:proofErr w:type="gramEnd"/>
    </w:p>
    <w:p w14:paraId="5AC1725A" w14:textId="0B1C4C05" w:rsidR="00D70E35" w:rsidRDefault="00D70E35" w:rsidP="00206F67">
      <w:pPr>
        <w:spacing w:beforeAutospacing="1" w:after="100" w:afterAutospacing="1"/>
        <w:rPr>
          <w:rFonts w:ascii="Bahnschrift" w:hAnsi="Bahnschrift"/>
          <w:sz w:val="22"/>
          <w:szCs w:val="22"/>
        </w:rPr>
      </w:pPr>
      <w:r>
        <w:rPr>
          <w:rFonts w:ascii="Bahnschrift" w:hAnsi="Bahnschrift"/>
          <w:sz w:val="22"/>
          <w:szCs w:val="22"/>
        </w:rPr>
        <w:t>ANALIZA E SHERBIMIT</w:t>
      </w:r>
    </w:p>
    <w:p w14:paraId="06B95E39" w14:textId="77777777" w:rsidR="00D70E35" w:rsidRDefault="00D70E35" w:rsidP="00D70E35">
      <w:pPr>
        <w:pStyle w:val="Heading3"/>
      </w:pPr>
      <w:r>
        <w:rPr>
          <w:rStyle w:val="Strong"/>
          <w:b w:val="0"/>
          <w:bCs w:val="0"/>
        </w:rPr>
        <w:t>Përshkrim i përgjithshëm</w:t>
      </w:r>
    </w:p>
    <w:p w14:paraId="5C6ED690" w14:textId="52681C3A" w:rsidR="00D70E35" w:rsidRDefault="00D70E35" w:rsidP="00D70E35">
      <w:pPr>
        <w:pStyle w:val="NormalWeb"/>
      </w:pPr>
      <w:proofErr w:type="gramStart"/>
      <w:r>
        <w:lastRenderedPageBreak/>
        <w:t xml:space="preserve">Në vitin 2024, Bashkia Librazhd paraqet </w:t>
      </w:r>
      <w:r>
        <w:rPr>
          <w:rStyle w:val="Strong"/>
        </w:rPr>
        <w:t>sfida të rëndësishme në arsimin e hershëm dhe parashkollor</w:t>
      </w:r>
      <w:r>
        <w:t>, të lidhura kryesisht me rënien e frekuentimit të çerdheve dhe kopshteve, si dhe mungesën e një plani vendor për arsimin parauniversitar.</w:t>
      </w:r>
      <w:proofErr w:type="gramEnd"/>
      <w:r>
        <w:t xml:space="preserve"> </w:t>
      </w:r>
      <w:proofErr w:type="gramStart"/>
      <w:r>
        <w:t>Territori i gjerë dhe i fragmentuar, shpërndarja e popullsisë në zona të largëta malore dhe migrimi i brendshëm vazhdojnë të ndikojnë në qasjen dhe kërkesën për shërbimin arsimor në moshat 0–6 vjeç.</w:t>
      </w:r>
      <w:proofErr w:type="gramEnd"/>
      <w:r>
        <w:br/>
      </w:r>
      <w:proofErr w:type="gramStart"/>
      <w:r>
        <w:t xml:space="preserve">Pavarësisht kësaj, Bashkia Librazhd ka shënuar </w:t>
      </w:r>
      <w:r>
        <w:rPr>
          <w:rStyle w:val="Strong"/>
        </w:rPr>
        <w:t>përmirësim të dukshëm në infrastrukturën arsimore</w:t>
      </w:r>
      <w:r>
        <w:t>, duke rritur numrin e godinave në të gjitha nivelet.</w:t>
      </w:r>
      <w:proofErr w:type="gramEnd"/>
    </w:p>
    <w:p w14:paraId="232A4BB3" w14:textId="5A309E73" w:rsidR="00D70E35" w:rsidRDefault="00D70E35" w:rsidP="00D70E35">
      <w:pPr>
        <w:pStyle w:val="Heading2"/>
      </w:pPr>
      <w:r>
        <w:t>1️</w:t>
      </w:r>
      <w:r>
        <w:rPr>
          <w:rStyle w:val="Strong"/>
          <w:b w:val="0"/>
          <w:bCs w:val="0"/>
        </w:rPr>
        <w:t>Çerdhet – pjesëmarrja dhe qasja</w:t>
      </w:r>
    </w:p>
    <w:p w14:paraId="28A6CF65" w14:textId="77777777" w:rsidR="00D70E35" w:rsidRDefault="00D70E35" w:rsidP="00D70E35">
      <w:pPr>
        <w:pStyle w:val="NormalWeb"/>
      </w:pPr>
      <w:proofErr w:type="gramStart"/>
      <w:r>
        <w:t xml:space="preserve">Shkalla e regjistrimit në çerdhe publike ka rënë nga </w:t>
      </w:r>
      <w:r>
        <w:rPr>
          <w:rStyle w:val="Strong"/>
        </w:rPr>
        <w:t>9.99% në 8.39%</w:t>
      </w:r>
      <w:r>
        <w:t xml:space="preserve"> (–16%).</w:t>
      </w:r>
      <w:proofErr w:type="gramEnd"/>
      <w:r>
        <w:t xml:space="preserve"> Kjo rënie lidhet me:</w:t>
      </w:r>
    </w:p>
    <w:p w14:paraId="226F2677" w14:textId="77777777" w:rsidR="00D70E35" w:rsidRDefault="00D70E35" w:rsidP="00D70E35">
      <w:pPr>
        <w:pStyle w:val="NormalWeb"/>
        <w:numPr>
          <w:ilvl w:val="0"/>
          <w:numId w:val="31"/>
        </w:numPr>
        <w:spacing w:line="240" w:lineRule="auto"/>
      </w:pPr>
      <w:r>
        <w:t>rritjen e numrit total të fëmijëve 0–3 vjeç (801 → 894),</w:t>
      </w:r>
    </w:p>
    <w:p w14:paraId="1D2375BB" w14:textId="77777777" w:rsidR="00D70E35" w:rsidRDefault="00D70E35" w:rsidP="00D70E35">
      <w:pPr>
        <w:pStyle w:val="NormalWeb"/>
        <w:numPr>
          <w:ilvl w:val="0"/>
          <w:numId w:val="31"/>
        </w:numPr>
        <w:spacing w:line="240" w:lineRule="auto"/>
      </w:pPr>
      <w:r>
        <w:t xml:space="preserve">vetëm </w:t>
      </w:r>
      <w:r>
        <w:rPr>
          <w:rStyle w:val="Strong"/>
        </w:rPr>
        <w:t>1 çerdhe publike</w:t>
      </w:r>
      <w:r>
        <w:t xml:space="preserve"> në të gjithë territorin,</w:t>
      </w:r>
    </w:p>
    <w:p w14:paraId="746839E2" w14:textId="77777777" w:rsidR="00D70E35" w:rsidRDefault="00D70E35" w:rsidP="00D70E35">
      <w:pPr>
        <w:pStyle w:val="NormalWeb"/>
        <w:numPr>
          <w:ilvl w:val="0"/>
          <w:numId w:val="31"/>
        </w:numPr>
        <w:spacing w:line="240" w:lineRule="auto"/>
      </w:pPr>
      <w:r>
        <w:t>distancat e gjata dhe aksesin e vështirë për familjet rurale,</w:t>
      </w:r>
    </w:p>
    <w:p w14:paraId="5D8180B8" w14:textId="77777777" w:rsidR="00D70E35" w:rsidRDefault="00D70E35" w:rsidP="00D70E35">
      <w:pPr>
        <w:pStyle w:val="NormalWeb"/>
        <w:numPr>
          <w:ilvl w:val="0"/>
          <w:numId w:val="31"/>
        </w:numPr>
        <w:spacing w:line="240" w:lineRule="auto"/>
      </w:pPr>
      <w:proofErr w:type="gramStart"/>
      <w:r>
        <w:t>prirjen</w:t>
      </w:r>
      <w:proofErr w:type="gramEnd"/>
      <w:r>
        <w:t xml:space="preserve"> e disa familjeve për t’u kujdesur në shtëpi për fëmijët në moshat e hershme.</w:t>
      </w:r>
    </w:p>
    <w:p w14:paraId="0350161B" w14:textId="17452D33" w:rsidR="00D70E35" w:rsidRDefault="00D70E35" w:rsidP="00D70E35">
      <w:pPr>
        <w:pStyle w:val="NormalWeb"/>
      </w:pPr>
      <w:proofErr w:type="gramStart"/>
      <w:r>
        <w:t>Ky</w:t>
      </w:r>
      <w:proofErr w:type="gramEnd"/>
      <w:r>
        <w:t xml:space="preserve"> tregues sinjalizon nevojën për </w:t>
      </w:r>
      <w:r>
        <w:rPr>
          <w:rStyle w:val="Strong"/>
        </w:rPr>
        <w:t>zhvillimin e shërbimeve më të afërta me komunitetin</w:t>
      </w:r>
      <w:r>
        <w:t>, përfshirë modele alternative si klasa satelit, transporti për çerdhen e qytetit, ose partneritete me qendra komunitare.</w:t>
      </w:r>
    </w:p>
    <w:p w14:paraId="326CC3BB" w14:textId="0247567B" w:rsidR="00D70E35" w:rsidRDefault="00D70E35" w:rsidP="00D70E35">
      <w:pPr>
        <w:pStyle w:val="Heading2"/>
      </w:pPr>
      <w:r>
        <w:rPr>
          <w:rStyle w:val="Strong"/>
          <w:b w:val="0"/>
          <w:bCs w:val="0"/>
        </w:rPr>
        <w:t>2 Kopshte publike – rënie e ndjeshme e frekuentimit</w:t>
      </w:r>
    </w:p>
    <w:p w14:paraId="119DA013" w14:textId="77777777" w:rsidR="00D70E35" w:rsidRDefault="00D70E35" w:rsidP="00D70E35">
      <w:pPr>
        <w:pStyle w:val="NormalWeb"/>
      </w:pPr>
      <w:r>
        <w:t xml:space="preserve">Frekuentimi i kopshteve ka pësuar rënie të fortë: </w:t>
      </w:r>
      <w:r>
        <w:rPr>
          <w:rStyle w:val="Strong"/>
        </w:rPr>
        <w:t>80.76% → 65.88%</w:t>
      </w:r>
      <w:r>
        <w:t xml:space="preserve"> (–18%).</w:t>
      </w:r>
      <w:r>
        <w:br/>
        <w:t>Sipas të dhënave të raportuara në dokument:</w:t>
      </w:r>
    </w:p>
    <w:p w14:paraId="6712B9CA" w14:textId="77777777" w:rsidR="00D70E35" w:rsidRDefault="00D70E35" w:rsidP="00D70E35">
      <w:pPr>
        <w:pStyle w:val="NormalWeb"/>
        <w:numPr>
          <w:ilvl w:val="0"/>
          <w:numId w:val="32"/>
        </w:numPr>
        <w:spacing w:line="240" w:lineRule="auto"/>
      </w:pPr>
      <w:r>
        <w:t>numri i fëmijëve 3–6 vjeç ka mbetur i njëjtë (894),</w:t>
      </w:r>
    </w:p>
    <w:p w14:paraId="546E5FC3" w14:textId="77777777" w:rsidR="00D70E35" w:rsidRDefault="00D70E35" w:rsidP="00D70E35">
      <w:pPr>
        <w:pStyle w:val="NormalWeb"/>
        <w:numPr>
          <w:ilvl w:val="0"/>
          <w:numId w:val="32"/>
        </w:numPr>
        <w:spacing w:line="240" w:lineRule="auto"/>
      </w:pPr>
      <w:r>
        <w:t xml:space="preserve">por fëmijët në kopshte publike kanë rënë nga </w:t>
      </w:r>
      <w:r>
        <w:rPr>
          <w:rStyle w:val="Strong"/>
        </w:rPr>
        <w:t>722 në 589</w:t>
      </w:r>
      <w:r>
        <w:t>,</w:t>
      </w:r>
    </w:p>
    <w:p w14:paraId="295C8C77" w14:textId="77777777" w:rsidR="00D70E35" w:rsidRDefault="00D70E35" w:rsidP="00D70E35">
      <w:pPr>
        <w:pStyle w:val="NormalWeb"/>
        <w:numPr>
          <w:ilvl w:val="0"/>
          <w:numId w:val="32"/>
        </w:numPr>
        <w:spacing w:line="240" w:lineRule="auto"/>
      </w:pPr>
      <w:proofErr w:type="gramStart"/>
      <w:r>
        <w:t>nuk</w:t>
      </w:r>
      <w:proofErr w:type="gramEnd"/>
      <w:r>
        <w:t xml:space="preserve"> ka institucion privat parashkollor.</w:t>
      </w:r>
    </w:p>
    <w:p w14:paraId="5E8575CA" w14:textId="77777777" w:rsidR="00D70E35" w:rsidRDefault="00D70E35" w:rsidP="00D70E35">
      <w:pPr>
        <w:pStyle w:val="NormalWeb"/>
      </w:pPr>
      <w:r>
        <w:t>Kjo rënie e strukturuar sugjeron:</w:t>
      </w:r>
    </w:p>
    <w:p w14:paraId="4104A7F1" w14:textId="77777777" w:rsidR="00D70E35" w:rsidRDefault="00D70E35" w:rsidP="00D70E35">
      <w:pPr>
        <w:pStyle w:val="NormalWeb"/>
        <w:numPr>
          <w:ilvl w:val="0"/>
          <w:numId w:val="33"/>
        </w:numPr>
        <w:spacing w:line="240" w:lineRule="auto"/>
      </w:pPr>
      <w:r>
        <w:t>migrim të familjeve të reja,</w:t>
      </w:r>
    </w:p>
    <w:p w14:paraId="6AAB8F0E" w14:textId="77777777" w:rsidR="00D70E35" w:rsidRDefault="00D70E35" w:rsidP="00D70E35">
      <w:pPr>
        <w:pStyle w:val="NormalWeb"/>
        <w:numPr>
          <w:ilvl w:val="0"/>
          <w:numId w:val="33"/>
        </w:numPr>
        <w:spacing w:line="240" w:lineRule="auto"/>
      </w:pPr>
      <w:r>
        <w:t>vështirësi të aksesit fizik në disa fshatra,</w:t>
      </w:r>
    </w:p>
    <w:p w14:paraId="529C095D" w14:textId="77777777" w:rsidR="00D70E35" w:rsidRDefault="00D70E35" w:rsidP="00D70E35">
      <w:pPr>
        <w:pStyle w:val="NormalWeb"/>
        <w:numPr>
          <w:ilvl w:val="0"/>
          <w:numId w:val="33"/>
        </w:numPr>
        <w:spacing w:line="240" w:lineRule="auto"/>
      </w:pPr>
      <w:r>
        <w:t>mungesë transporti të dedikuar për fëmijët 3–6 vjeç,</w:t>
      </w:r>
    </w:p>
    <w:p w14:paraId="47202999" w14:textId="77777777" w:rsidR="00D70E35" w:rsidRDefault="00D70E35" w:rsidP="00D70E35">
      <w:pPr>
        <w:pStyle w:val="NormalWeb"/>
        <w:numPr>
          <w:ilvl w:val="0"/>
          <w:numId w:val="33"/>
        </w:numPr>
        <w:spacing w:line="240" w:lineRule="auto"/>
      </w:pPr>
      <w:r>
        <w:t>rënie të besimit te cilësia e shërbimit në disa njësi,</w:t>
      </w:r>
    </w:p>
    <w:p w14:paraId="37E8B33E" w14:textId="77777777" w:rsidR="00D70E35" w:rsidRDefault="00D70E35" w:rsidP="00D70E35">
      <w:pPr>
        <w:pStyle w:val="NormalWeb"/>
        <w:numPr>
          <w:ilvl w:val="0"/>
          <w:numId w:val="33"/>
        </w:numPr>
        <w:spacing w:line="240" w:lineRule="auto"/>
      </w:pPr>
      <w:proofErr w:type="gramStart"/>
      <w:r>
        <w:t>mospërputhje</w:t>
      </w:r>
      <w:proofErr w:type="gramEnd"/>
      <w:r>
        <w:t xml:space="preserve"> midis kapaciteteve dhe shpërndarjes së popullsisë.</w:t>
      </w:r>
    </w:p>
    <w:p w14:paraId="766B4DB8" w14:textId="32C3B882" w:rsidR="00D70E35" w:rsidRDefault="00D70E35" w:rsidP="00D70E35">
      <w:pPr>
        <w:pStyle w:val="NormalWeb"/>
      </w:pPr>
      <w:proofErr w:type="gramStart"/>
      <w:r>
        <w:t>Ky</w:t>
      </w:r>
      <w:proofErr w:type="gramEnd"/>
      <w:r>
        <w:t xml:space="preserve"> është treguesi më kritik i fushës dhe kërkon </w:t>
      </w:r>
      <w:r>
        <w:rPr>
          <w:rStyle w:val="Strong"/>
        </w:rPr>
        <w:t>analizë më të thelluar në nivel njësie administrative</w:t>
      </w:r>
      <w:r>
        <w:t>.</w:t>
      </w:r>
    </w:p>
    <w:p w14:paraId="0D917C2A" w14:textId="3D8C3BD1" w:rsidR="00D70E35" w:rsidRDefault="00D70E35" w:rsidP="00D70E35">
      <w:pPr>
        <w:pStyle w:val="Heading2"/>
      </w:pPr>
      <w:r>
        <w:t>3️</w:t>
      </w:r>
      <w:r>
        <w:rPr>
          <w:rFonts w:ascii="Segoe UI Symbol" w:hAnsi="Segoe UI Symbol" w:cs="Segoe UI Symbol"/>
        </w:rPr>
        <w:t>⃣</w:t>
      </w:r>
      <w:r>
        <w:t xml:space="preserve"> </w:t>
      </w:r>
      <w:r>
        <w:rPr>
          <w:rStyle w:val="Strong"/>
          <w:b w:val="0"/>
          <w:bCs w:val="0"/>
        </w:rPr>
        <w:t>aporti fëmijë–mësues (Kopshtet Publike)</w:t>
      </w:r>
    </w:p>
    <w:p w14:paraId="21551587" w14:textId="77777777" w:rsidR="00D70E35" w:rsidRDefault="00D70E35" w:rsidP="00D70E35">
      <w:pPr>
        <w:pStyle w:val="NormalWeb"/>
      </w:pPr>
      <w:proofErr w:type="gramStart"/>
      <w:r>
        <w:t xml:space="preserve">Raporti ka rënë nga </w:t>
      </w:r>
      <w:r>
        <w:rPr>
          <w:rStyle w:val="Strong"/>
        </w:rPr>
        <w:t>5.39 → 4.40 nxënës për mësues</w:t>
      </w:r>
      <w:r>
        <w:t xml:space="preserve"> (–18%).</w:t>
      </w:r>
      <w:proofErr w:type="gramEnd"/>
      <w:r>
        <w:br/>
        <w:t xml:space="preserve">Në pamje të parë, një raport më i ulët duket pozitiv, por rënia në Librazhd vjen </w:t>
      </w:r>
      <w:proofErr w:type="gramStart"/>
      <w:r>
        <w:t>jo</w:t>
      </w:r>
      <w:proofErr w:type="gramEnd"/>
      <w:r>
        <w:t xml:space="preserve"> nga shtimi i stafit, por nga </w:t>
      </w:r>
      <w:r>
        <w:rPr>
          <w:rStyle w:val="Strong"/>
        </w:rPr>
        <w:t>ulja e numrit të fëmijëve që ndjekin kopshtin</w:t>
      </w:r>
      <w:r>
        <w:t>.</w:t>
      </w:r>
      <w:r>
        <w:br/>
        <w:t xml:space="preserve">Numri i edukatorëve ka mbetur </w:t>
      </w:r>
      <w:r>
        <w:rPr>
          <w:rStyle w:val="Strong"/>
        </w:rPr>
        <w:t>i njëjtë (67)</w:t>
      </w:r>
      <w:r>
        <w:t>, çka sugjeron:</w:t>
      </w:r>
    </w:p>
    <w:p w14:paraId="58278D58" w14:textId="77777777" w:rsidR="00D70E35" w:rsidRDefault="00D70E35" w:rsidP="00D70E35">
      <w:pPr>
        <w:pStyle w:val="NormalWeb"/>
        <w:numPr>
          <w:ilvl w:val="0"/>
          <w:numId w:val="34"/>
        </w:numPr>
        <w:spacing w:line="240" w:lineRule="auto"/>
      </w:pPr>
      <w:r>
        <w:lastRenderedPageBreak/>
        <w:t>kapacitete të nën-shfrytëzuara në disa institucione,</w:t>
      </w:r>
    </w:p>
    <w:p w14:paraId="006656BE" w14:textId="77777777" w:rsidR="00D70E35" w:rsidRDefault="00D70E35" w:rsidP="00D70E35">
      <w:pPr>
        <w:pStyle w:val="NormalWeb"/>
        <w:numPr>
          <w:ilvl w:val="0"/>
          <w:numId w:val="34"/>
        </w:numPr>
        <w:spacing w:line="240" w:lineRule="auto"/>
      </w:pPr>
      <w:r>
        <w:t>nevojë për rishpërndarje të stafit në territor,</w:t>
      </w:r>
    </w:p>
    <w:p w14:paraId="1E0CDB52" w14:textId="6830B64E" w:rsidR="00D70E35" w:rsidRDefault="00D70E35" w:rsidP="00D70E35">
      <w:pPr>
        <w:pStyle w:val="NormalWeb"/>
        <w:numPr>
          <w:ilvl w:val="0"/>
          <w:numId w:val="34"/>
        </w:numPr>
        <w:spacing w:line="240" w:lineRule="auto"/>
      </w:pPr>
      <w:proofErr w:type="gramStart"/>
      <w:r>
        <w:t>mundësi</w:t>
      </w:r>
      <w:proofErr w:type="gramEnd"/>
      <w:r>
        <w:t xml:space="preserve"> për të përmirësuar cilësinë e kujdesit, por me kosto më të lartë relative për bashkinë.</w:t>
      </w:r>
    </w:p>
    <w:p w14:paraId="6E46A60A" w14:textId="4F7DF83C" w:rsidR="00D70E35" w:rsidRDefault="00D70E35" w:rsidP="00D70E35">
      <w:pPr>
        <w:pStyle w:val="Heading2"/>
      </w:pPr>
      <w:r>
        <w:t>4️</w:t>
      </w:r>
      <w:r>
        <w:rPr>
          <w:rFonts w:ascii="Segoe UI Symbol" w:hAnsi="Segoe UI Symbol" w:cs="Segoe UI Symbol"/>
        </w:rPr>
        <w:t xml:space="preserve"> I</w:t>
      </w:r>
      <w:r>
        <w:rPr>
          <w:rStyle w:val="Strong"/>
          <w:b w:val="0"/>
          <w:bCs w:val="0"/>
        </w:rPr>
        <w:t>nfrastruktura arsimore – përmirësimi më i fortë i vitit</w:t>
      </w:r>
    </w:p>
    <w:p w14:paraId="275CB1E4" w14:textId="77777777" w:rsidR="00D70E35" w:rsidRDefault="00D70E35" w:rsidP="00D70E35">
      <w:pPr>
        <w:pStyle w:val="NormalWeb"/>
      </w:pPr>
      <w:r>
        <w:t xml:space="preserve">Numri i godinave arsimore është rritur nga </w:t>
      </w:r>
      <w:r>
        <w:rPr>
          <w:rStyle w:val="Strong"/>
        </w:rPr>
        <w:t>70 në 80</w:t>
      </w:r>
      <w:r>
        <w:t xml:space="preserve"> (+14%), me rritje në:</w:t>
      </w:r>
    </w:p>
    <w:p w14:paraId="2A212CCE" w14:textId="77777777" w:rsidR="00D70E35" w:rsidRDefault="00D70E35" w:rsidP="00D70E35">
      <w:pPr>
        <w:pStyle w:val="NormalWeb"/>
        <w:numPr>
          <w:ilvl w:val="0"/>
          <w:numId w:val="35"/>
        </w:numPr>
        <w:spacing w:line="240" w:lineRule="auto"/>
      </w:pPr>
      <w:r>
        <w:t>shkolla 9-vjeçare (10 → 14),</w:t>
      </w:r>
    </w:p>
    <w:p w14:paraId="55C09E6C" w14:textId="77777777" w:rsidR="00D70E35" w:rsidRDefault="00D70E35" w:rsidP="00D70E35">
      <w:pPr>
        <w:pStyle w:val="NormalWeb"/>
        <w:numPr>
          <w:ilvl w:val="0"/>
          <w:numId w:val="35"/>
        </w:numPr>
        <w:spacing w:line="240" w:lineRule="auto"/>
      </w:pPr>
      <w:r>
        <w:t>kopshte publike (53 → 59),</w:t>
      </w:r>
    </w:p>
    <w:p w14:paraId="598A68EE" w14:textId="77777777" w:rsidR="00D70E35" w:rsidRDefault="00D70E35" w:rsidP="00D70E35">
      <w:pPr>
        <w:pStyle w:val="NormalWeb"/>
        <w:numPr>
          <w:ilvl w:val="0"/>
          <w:numId w:val="35"/>
        </w:numPr>
        <w:spacing w:line="240" w:lineRule="auto"/>
      </w:pPr>
      <w:proofErr w:type="gramStart"/>
      <w:r>
        <w:t>ruajtje</w:t>
      </w:r>
      <w:proofErr w:type="gramEnd"/>
      <w:r>
        <w:t xml:space="preserve"> të rrjetit të shkollave të mesme.</w:t>
      </w:r>
    </w:p>
    <w:p w14:paraId="2DE8482E" w14:textId="77777777" w:rsidR="00D70E35" w:rsidRDefault="00D70E35" w:rsidP="00D70E35">
      <w:pPr>
        <w:pStyle w:val="NormalWeb"/>
      </w:pPr>
      <w:proofErr w:type="gramStart"/>
      <w:r>
        <w:t>Ky</w:t>
      </w:r>
      <w:proofErr w:type="gramEnd"/>
      <w:r>
        <w:t xml:space="preserve"> është </w:t>
      </w:r>
      <w:r>
        <w:rPr>
          <w:rStyle w:val="Strong"/>
        </w:rPr>
        <w:t>treguesi i vetëm me përmirësim të fortë</w:t>
      </w:r>
      <w:r>
        <w:t xml:space="preserve"> dhe tregon angazhim të bashkisë në:</w:t>
      </w:r>
    </w:p>
    <w:p w14:paraId="4325DEC2" w14:textId="77777777" w:rsidR="00D70E35" w:rsidRDefault="00D70E35" w:rsidP="00D70E35">
      <w:pPr>
        <w:pStyle w:val="NormalWeb"/>
        <w:numPr>
          <w:ilvl w:val="0"/>
          <w:numId w:val="36"/>
        </w:numPr>
        <w:spacing w:line="240" w:lineRule="auto"/>
      </w:pPr>
      <w:r>
        <w:t>rehabilitimin e objekteve,</w:t>
      </w:r>
    </w:p>
    <w:p w14:paraId="1EDF8E59" w14:textId="77777777" w:rsidR="00D70E35" w:rsidRDefault="00D70E35" w:rsidP="00D70E35">
      <w:pPr>
        <w:pStyle w:val="NormalWeb"/>
        <w:numPr>
          <w:ilvl w:val="0"/>
          <w:numId w:val="36"/>
        </w:numPr>
        <w:spacing w:line="240" w:lineRule="auto"/>
      </w:pPr>
      <w:r>
        <w:t>zgjerimin e hapësirave në zonat e nevojshme,</w:t>
      </w:r>
    </w:p>
    <w:p w14:paraId="0164A5F5" w14:textId="77777777" w:rsidR="00D70E35" w:rsidRDefault="00D70E35" w:rsidP="00D70E35">
      <w:pPr>
        <w:pStyle w:val="NormalWeb"/>
        <w:numPr>
          <w:ilvl w:val="0"/>
          <w:numId w:val="36"/>
        </w:numPr>
        <w:spacing w:line="240" w:lineRule="auto"/>
      </w:pPr>
      <w:proofErr w:type="gramStart"/>
      <w:r>
        <w:t>reagim</w:t>
      </w:r>
      <w:proofErr w:type="gramEnd"/>
      <w:r>
        <w:t xml:space="preserve"> ndaj sfidave të territorit të gjerë dhe decentralizuar.</w:t>
      </w:r>
    </w:p>
    <w:p w14:paraId="50D0C470" w14:textId="233D2389" w:rsidR="00D70E35" w:rsidRDefault="00D70E35" w:rsidP="00D70E35">
      <w:pPr>
        <w:pStyle w:val="NormalWeb"/>
      </w:pPr>
      <w:proofErr w:type="gramStart"/>
      <w:r>
        <w:t xml:space="preserve">Megjithatë, rritja e godinave nuk është shoqëruar me rritje të pjesëmarrjes, çka tregon mungesë </w:t>
      </w:r>
      <w:r>
        <w:rPr>
          <w:rStyle w:val="Strong"/>
        </w:rPr>
        <w:t>korelacioni midis investimeve infrastrukturore dhe përdorimit nga komuniteti.</w:t>
      </w:r>
      <w:proofErr w:type="gramEnd"/>
    </w:p>
    <w:p w14:paraId="740CCEC5" w14:textId="5021084A" w:rsidR="00D70E35" w:rsidRDefault="00D70E35" w:rsidP="00D70E35">
      <w:pPr>
        <w:pStyle w:val="Heading2"/>
      </w:pPr>
      <w:r>
        <w:t>5️</w:t>
      </w:r>
      <w:r>
        <w:rPr>
          <w:rStyle w:val="Strong"/>
          <w:b w:val="0"/>
          <w:bCs w:val="0"/>
        </w:rPr>
        <w:t>Planifikimi strategjik</w:t>
      </w:r>
    </w:p>
    <w:p w14:paraId="2A654810" w14:textId="77777777" w:rsidR="00D70E35" w:rsidRDefault="00D70E35" w:rsidP="00D70E35">
      <w:pPr>
        <w:pStyle w:val="NormalWeb"/>
      </w:pPr>
      <w:r>
        <w:t xml:space="preserve">Plani Vendor i Arsimit Parauniversitar </w:t>
      </w:r>
      <w:r>
        <w:rPr>
          <w:rStyle w:val="Strong"/>
        </w:rPr>
        <w:t>mungon</w:t>
      </w:r>
      <w:r>
        <w:t xml:space="preserve"> (vlerësim “Jo” në të </w:t>
      </w:r>
      <w:proofErr w:type="gramStart"/>
      <w:r>
        <w:t>dy</w:t>
      </w:r>
      <w:proofErr w:type="gramEnd"/>
      <w:r>
        <w:t xml:space="preserve"> vitet).</w:t>
      </w:r>
      <w:r>
        <w:br/>
        <w:t>Kjo nënkupton:</w:t>
      </w:r>
    </w:p>
    <w:p w14:paraId="0A8A6841" w14:textId="77777777" w:rsidR="00D70E35" w:rsidRDefault="00D70E35" w:rsidP="00D70E35">
      <w:pPr>
        <w:pStyle w:val="NormalWeb"/>
        <w:numPr>
          <w:ilvl w:val="0"/>
          <w:numId w:val="37"/>
        </w:numPr>
        <w:spacing w:line="240" w:lineRule="auto"/>
      </w:pPr>
      <w:r>
        <w:t>mungesë të qasjeve të integruara të planifikimit,</w:t>
      </w:r>
    </w:p>
    <w:p w14:paraId="7ACE424D" w14:textId="77777777" w:rsidR="00D70E35" w:rsidRDefault="00D70E35" w:rsidP="00D70E35">
      <w:pPr>
        <w:pStyle w:val="NormalWeb"/>
        <w:numPr>
          <w:ilvl w:val="0"/>
          <w:numId w:val="37"/>
        </w:numPr>
        <w:spacing w:line="240" w:lineRule="auto"/>
      </w:pPr>
      <w:r>
        <w:t>mos-koordinim me politikat kombëtare dhe standardet e MASR,</w:t>
      </w:r>
    </w:p>
    <w:p w14:paraId="55D2891F" w14:textId="77777777" w:rsidR="00D70E35" w:rsidRDefault="00D70E35" w:rsidP="00D70E35">
      <w:pPr>
        <w:pStyle w:val="NormalWeb"/>
        <w:numPr>
          <w:ilvl w:val="0"/>
          <w:numId w:val="37"/>
        </w:numPr>
        <w:spacing w:line="240" w:lineRule="auto"/>
      </w:pPr>
      <w:r>
        <w:t>vështirësi në parashikimin e kapaciteteve dhe shpërndarjen e stafit,</w:t>
      </w:r>
    </w:p>
    <w:p w14:paraId="08E33B90" w14:textId="77777777" w:rsidR="00D70E35" w:rsidRDefault="00D70E35" w:rsidP="00D70E35">
      <w:pPr>
        <w:pStyle w:val="NormalWeb"/>
        <w:numPr>
          <w:ilvl w:val="0"/>
          <w:numId w:val="37"/>
        </w:numPr>
        <w:spacing w:line="240" w:lineRule="auto"/>
      </w:pPr>
      <w:proofErr w:type="gramStart"/>
      <w:r>
        <w:t>mospërputhje</w:t>
      </w:r>
      <w:proofErr w:type="gramEnd"/>
      <w:r>
        <w:t xml:space="preserve"> midis investimeve dhe nevojave aktuale të popullsisë.</w:t>
      </w:r>
    </w:p>
    <w:p w14:paraId="1070B9DD" w14:textId="77777777" w:rsidR="00D70E35" w:rsidRDefault="00D70E35" w:rsidP="00D70E35">
      <w:pPr>
        <w:pStyle w:val="NormalWeb"/>
      </w:pPr>
      <w:proofErr w:type="gramStart"/>
      <w:r>
        <w:t>Ky</w:t>
      </w:r>
      <w:proofErr w:type="gramEnd"/>
      <w:r>
        <w:t xml:space="preserve"> dokument strategjik është themelor për të adresuar të gjitha trendet negative të raportuara.</w:t>
      </w:r>
    </w:p>
    <w:p w14:paraId="4F970FC0" w14:textId="1E47E9CF" w:rsidR="00D70E35" w:rsidRDefault="00D70E35" w:rsidP="00D70E35"/>
    <w:p w14:paraId="714428FD" w14:textId="77777777" w:rsidR="00D70E35" w:rsidRDefault="00D70E35" w:rsidP="00D70E35">
      <w:pPr>
        <w:pStyle w:val="Heading1"/>
      </w:pPr>
      <w:r>
        <w:rPr>
          <w:rStyle w:val="Strong"/>
          <w:b w:val="0"/>
          <w:bCs w:val="0"/>
        </w:rPr>
        <w:t>Përmbledhje narrative</w:t>
      </w:r>
    </w:p>
    <w:p w14:paraId="5EE575DB" w14:textId="2385A5AE" w:rsidR="00D70E35" w:rsidRDefault="00D70E35" w:rsidP="00D70E35">
      <w:pPr>
        <w:pStyle w:val="NormalWeb"/>
      </w:pPr>
      <w:proofErr w:type="gramStart"/>
      <w:r>
        <w:t xml:space="preserve">Arsimi parauniversitar në Bashkinë Librazhd në vitin 2024 paraqet një </w:t>
      </w:r>
      <w:r>
        <w:rPr>
          <w:rStyle w:val="Strong"/>
        </w:rPr>
        <w:t>situatë të kombinuar</w:t>
      </w:r>
      <w:r>
        <w:t xml:space="preserve">, me një përmirësim të dukshëm në infrastrukturë, por me </w:t>
      </w:r>
      <w:r>
        <w:rPr>
          <w:rStyle w:val="Strong"/>
        </w:rPr>
        <w:t>rënien më të fortë ndër bashkitë e ngjashme në pjesëmarrjen në çerdhe dhe kopshte</w:t>
      </w:r>
      <w:r>
        <w:t>.</w:t>
      </w:r>
      <w:proofErr w:type="gramEnd"/>
      <w:r>
        <w:t xml:space="preserve"> Raporti fëmijë–mësues ka rënë ndjeshëm, duke reflektuar uljen e frekuentimit dhe </w:t>
      </w:r>
      <w:proofErr w:type="gramStart"/>
      <w:r>
        <w:t>jo</w:t>
      </w:r>
      <w:proofErr w:type="gramEnd"/>
      <w:r>
        <w:t xml:space="preserve"> rritjen e cilësisë së shërbimit. </w:t>
      </w:r>
      <w:proofErr w:type="gramStart"/>
      <w:r>
        <w:t>Mungesa e Planit Vendor për arsimin parauniversitar mbetet një pengesë madhore për menaxhimin efektiv të sektorit.</w:t>
      </w:r>
      <w:proofErr w:type="gramEnd"/>
      <w:r>
        <w:t xml:space="preserve"> Bashkia ka potencial të fortë për përmirësim përmes:</w:t>
      </w:r>
    </w:p>
    <w:p w14:paraId="23E74DD1" w14:textId="77777777" w:rsidR="00D70E35" w:rsidRDefault="00D70E35" w:rsidP="00D70E35">
      <w:pPr>
        <w:pStyle w:val="NormalWeb"/>
        <w:numPr>
          <w:ilvl w:val="0"/>
          <w:numId w:val="38"/>
        </w:numPr>
        <w:spacing w:line="240" w:lineRule="auto"/>
      </w:pPr>
      <w:r>
        <w:t>riorganizimit territorial të shërbimeve,</w:t>
      </w:r>
    </w:p>
    <w:p w14:paraId="7BA11D0B" w14:textId="77777777" w:rsidR="00D70E35" w:rsidRDefault="00D70E35" w:rsidP="00D70E35">
      <w:pPr>
        <w:pStyle w:val="NormalWeb"/>
        <w:numPr>
          <w:ilvl w:val="0"/>
          <w:numId w:val="38"/>
        </w:numPr>
        <w:spacing w:line="240" w:lineRule="auto"/>
      </w:pPr>
      <w:r>
        <w:t>përdorimit të stafit në mënyrë më efikase,</w:t>
      </w:r>
    </w:p>
    <w:p w14:paraId="6EE43231" w14:textId="77777777" w:rsidR="00D70E35" w:rsidRDefault="00D70E35" w:rsidP="00D70E35">
      <w:pPr>
        <w:pStyle w:val="NormalWeb"/>
        <w:numPr>
          <w:ilvl w:val="0"/>
          <w:numId w:val="38"/>
        </w:numPr>
        <w:spacing w:line="240" w:lineRule="auto"/>
      </w:pPr>
      <w:r>
        <w:lastRenderedPageBreak/>
        <w:t>përmirësimit të aksesit për fëmijët në zonat e thella,</w:t>
      </w:r>
    </w:p>
    <w:p w14:paraId="579D192E" w14:textId="54D93FD3" w:rsidR="00D70E35" w:rsidRPr="00D70E35" w:rsidRDefault="00D70E35" w:rsidP="00206F67">
      <w:pPr>
        <w:pStyle w:val="NormalWeb"/>
        <w:numPr>
          <w:ilvl w:val="0"/>
          <w:numId w:val="38"/>
        </w:numPr>
        <w:spacing w:line="240" w:lineRule="auto"/>
      </w:pPr>
      <w:proofErr w:type="gramStart"/>
      <w:r>
        <w:t>dhe</w:t>
      </w:r>
      <w:proofErr w:type="gramEnd"/>
      <w:r>
        <w:t xml:space="preserve"> bashkëpunimit më të fortë me komunitetin.</w:t>
      </w:r>
    </w:p>
    <w:p w14:paraId="2BA55AF2" w14:textId="2D72520D" w:rsidR="00D70E35" w:rsidRDefault="00D70E35" w:rsidP="00206F67">
      <w:pPr>
        <w:spacing w:beforeAutospacing="1" w:after="100" w:afterAutospacing="1"/>
        <w:rPr>
          <w:rFonts w:ascii="Bahnschrift" w:hAnsi="Bahnschrift"/>
          <w:sz w:val="22"/>
          <w:szCs w:val="22"/>
        </w:rPr>
      </w:pPr>
      <w:r>
        <w:rPr>
          <w:noProof/>
        </w:rPr>
        <w:drawing>
          <wp:inline distT="0" distB="0" distL="0" distR="0" wp14:anchorId="46953B57" wp14:editId="66124089">
            <wp:extent cx="4572000" cy="2743200"/>
            <wp:effectExtent l="0" t="0" r="12700" b="12700"/>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1A9B8C-2742-1D4C-97DF-35B5D4157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C292BE" w14:textId="64844A94" w:rsidR="00D70E35" w:rsidRDefault="00D70E35" w:rsidP="00206F67">
      <w:pPr>
        <w:spacing w:beforeAutospacing="1" w:after="100" w:afterAutospacing="1"/>
        <w:rPr>
          <w:rFonts w:ascii="Bahnschrift" w:hAnsi="Bahnschrift"/>
          <w:sz w:val="22"/>
          <w:szCs w:val="22"/>
        </w:rPr>
      </w:pPr>
    </w:p>
    <w:tbl>
      <w:tblPr>
        <w:tblStyle w:val="TableGrid6"/>
        <w:tblW w:w="0" w:type="auto"/>
        <w:tblLook w:val="04A0" w:firstRow="1" w:lastRow="0" w:firstColumn="1" w:lastColumn="0" w:noHBand="0" w:noVBand="1"/>
      </w:tblPr>
      <w:tblGrid>
        <w:gridCol w:w="1443"/>
        <w:gridCol w:w="8133"/>
      </w:tblGrid>
      <w:tr w:rsidR="00D70E35" w:rsidRPr="00D70E35" w14:paraId="2FE8A9D6" w14:textId="77777777" w:rsidTr="00D70E35">
        <w:tc>
          <w:tcPr>
            <w:tcW w:w="0" w:type="auto"/>
            <w:hideMark/>
          </w:tcPr>
          <w:p w14:paraId="5B05F8F2" w14:textId="77777777" w:rsidR="00D70E35" w:rsidRPr="00D70E35" w:rsidRDefault="00D70E35" w:rsidP="00D70E35">
            <w:pPr>
              <w:jc w:val="center"/>
              <w:rPr>
                <w:rFonts w:ascii="Times New Roman" w:eastAsia="Times New Roman" w:hAnsi="Times New Roman" w:cs="Times New Roman"/>
                <w:b/>
                <w:bCs/>
                <w:lang w:eastAsia="en-GB"/>
              </w:rPr>
            </w:pPr>
            <w:r w:rsidRPr="00D70E35">
              <w:rPr>
                <w:rFonts w:ascii="Times New Roman" w:eastAsia="Times New Roman" w:hAnsi="Times New Roman" w:cs="Times New Roman"/>
                <w:b/>
                <w:bCs/>
                <w:lang w:eastAsia="en-GB"/>
              </w:rPr>
              <w:t>Kategoria</w:t>
            </w:r>
          </w:p>
        </w:tc>
        <w:tc>
          <w:tcPr>
            <w:tcW w:w="0" w:type="auto"/>
            <w:hideMark/>
          </w:tcPr>
          <w:p w14:paraId="0F2C41E5" w14:textId="77777777" w:rsidR="00D70E35" w:rsidRPr="00D70E35" w:rsidRDefault="00D70E35" w:rsidP="00D70E35">
            <w:pPr>
              <w:jc w:val="center"/>
              <w:rPr>
                <w:rFonts w:ascii="Times New Roman" w:eastAsia="Times New Roman" w:hAnsi="Times New Roman" w:cs="Times New Roman"/>
                <w:b/>
                <w:bCs/>
                <w:lang w:eastAsia="en-GB"/>
              </w:rPr>
            </w:pPr>
            <w:r w:rsidRPr="00D70E35">
              <w:rPr>
                <w:rFonts w:ascii="Times New Roman" w:eastAsia="Times New Roman" w:hAnsi="Times New Roman" w:cs="Times New Roman"/>
                <w:b/>
                <w:bCs/>
                <w:lang w:eastAsia="en-GB"/>
              </w:rPr>
              <w:t>Përshkrimi</w:t>
            </w:r>
          </w:p>
        </w:tc>
      </w:tr>
      <w:tr w:rsidR="00D70E35" w:rsidRPr="00D70E35" w14:paraId="2F75220B" w14:textId="77777777" w:rsidTr="00D70E35">
        <w:tc>
          <w:tcPr>
            <w:tcW w:w="0" w:type="auto"/>
            <w:hideMark/>
          </w:tcPr>
          <w:p w14:paraId="0BC840B3" w14:textId="77777777" w:rsidR="00D70E35" w:rsidRPr="00D70E35" w:rsidRDefault="00D70E35" w:rsidP="00D70E35">
            <w:pPr>
              <w:rPr>
                <w:rFonts w:ascii="Times New Roman" w:eastAsia="Times New Roman" w:hAnsi="Times New Roman" w:cs="Times New Roman"/>
                <w:lang w:eastAsia="en-GB"/>
              </w:rPr>
            </w:pPr>
            <w:r w:rsidRPr="00D70E35">
              <w:rPr>
                <w:rFonts w:ascii="Times New Roman" w:eastAsia="Times New Roman" w:hAnsi="Times New Roman" w:cs="Times New Roman"/>
                <w:b/>
                <w:bCs/>
                <w:lang w:eastAsia="en-GB"/>
              </w:rPr>
              <w:t>Arritje (2024)</w:t>
            </w:r>
          </w:p>
        </w:tc>
        <w:tc>
          <w:tcPr>
            <w:tcW w:w="0" w:type="auto"/>
            <w:hideMark/>
          </w:tcPr>
          <w:p w14:paraId="1C66D138" w14:textId="77777777" w:rsidR="00D70E35" w:rsidRPr="00D70E35" w:rsidRDefault="00D70E35" w:rsidP="00D70E35">
            <w:pPr>
              <w:rPr>
                <w:rFonts w:ascii="Times New Roman" w:eastAsia="Times New Roman" w:hAnsi="Times New Roman" w:cs="Times New Roman"/>
                <w:lang w:eastAsia="en-GB"/>
              </w:rPr>
            </w:pPr>
            <w:r w:rsidRPr="00D70E35">
              <w:rPr>
                <w:rFonts w:ascii="Times New Roman" w:eastAsia="Times New Roman" w:hAnsi="Times New Roman" w:cs="Times New Roman"/>
                <w:lang w:eastAsia="en-GB"/>
              </w:rPr>
              <w:t>• Rritje e fortë e infrastrukturës arsimore (70 → 80 godina, +14%)</w:t>
            </w:r>
            <w:proofErr w:type="gramStart"/>
            <w:r w:rsidRPr="00D70E35">
              <w:rPr>
                <w:rFonts w:ascii="Times New Roman" w:eastAsia="Times New Roman" w:hAnsi="Times New Roman" w:cs="Times New Roman"/>
                <w:lang w:eastAsia="en-GB"/>
              </w:rPr>
              <w:t>.•</w:t>
            </w:r>
            <w:proofErr w:type="gramEnd"/>
            <w:r w:rsidRPr="00D70E35">
              <w:rPr>
                <w:rFonts w:ascii="Times New Roman" w:eastAsia="Times New Roman" w:hAnsi="Times New Roman" w:cs="Times New Roman"/>
                <w:lang w:eastAsia="en-GB"/>
              </w:rPr>
              <w:t xml:space="preserve"> Rritje e numrit të kopshteve publike (53 → 59).• Rrjet arsimor i shtrirë në të gjitha njësitë administrative.• Ruajtje e plotë e stafit arsimor (67 edukatorë) pavarësisht uljes së frekuentimit.• Mundësi për shërbim me raport më të ulët fëmijë–mësues.</w:t>
            </w:r>
          </w:p>
        </w:tc>
      </w:tr>
      <w:tr w:rsidR="00D70E35" w:rsidRPr="00D70E35" w14:paraId="069292C9" w14:textId="77777777" w:rsidTr="00D70E35">
        <w:tc>
          <w:tcPr>
            <w:tcW w:w="0" w:type="auto"/>
            <w:hideMark/>
          </w:tcPr>
          <w:p w14:paraId="3BA7CB86" w14:textId="77777777" w:rsidR="00D70E35" w:rsidRPr="00D70E35" w:rsidRDefault="00D70E35" w:rsidP="00D70E35">
            <w:pPr>
              <w:rPr>
                <w:rFonts w:ascii="Times New Roman" w:eastAsia="Times New Roman" w:hAnsi="Times New Roman" w:cs="Times New Roman"/>
                <w:lang w:eastAsia="en-GB"/>
              </w:rPr>
            </w:pPr>
            <w:r w:rsidRPr="00D70E35">
              <w:rPr>
                <w:rFonts w:ascii="Times New Roman" w:eastAsia="Times New Roman" w:hAnsi="Times New Roman" w:cs="Times New Roman"/>
                <w:b/>
                <w:bCs/>
                <w:lang w:eastAsia="en-GB"/>
              </w:rPr>
              <w:t>Sfida</w:t>
            </w:r>
          </w:p>
        </w:tc>
        <w:tc>
          <w:tcPr>
            <w:tcW w:w="0" w:type="auto"/>
            <w:hideMark/>
          </w:tcPr>
          <w:p w14:paraId="2F37B11E" w14:textId="77777777" w:rsidR="00D70E35" w:rsidRPr="00D70E35" w:rsidRDefault="00D70E35" w:rsidP="00D70E35">
            <w:pPr>
              <w:rPr>
                <w:rFonts w:ascii="Times New Roman" w:eastAsia="Times New Roman" w:hAnsi="Times New Roman" w:cs="Times New Roman"/>
                <w:lang w:eastAsia="en-GB"/>
              </w:rPr>
            </w:pPr>
            <w:r w:rsidRPr="00D70E35">
              <w:rPr>
                <w:rFonts w:ascii="Times New Roman" w:eastAsia="Times New Roman" w:hAnsi="Times New Roman" w:cs="Times New Roman"/>
                <w:lang w:eastAsia="en-GB"/>
              </w:rPr>
              <w:t>• Rënie e theksuar e regjistrimit në çerdhe (–16%)</w:t>
            </w:r>
            <w:proofErr w:type="gramStart"/>
            <w:r w:rsidRPr="00D70E35">
              <w:rPr>
                <w:rFonts w:ascii="Times New Roman" w:eastAsia="Times New Roman" w:hAnsi="Times New Roman" w:cs="Times New Roman"/>
                <w:lang w:eastAsia="en-GB"/>
              </w:rPr>
              <w:t>.•</w:t>
            </w:r>
            <w:proofErr w:type="gramEnd"/>
            <w:r w:rsidRPr="00D70E35">
              <w:rPr>
                <w:rFonts w:ascii="Times New Roman" w:eastAsia="Times New Roman" w:hAnsi="Times New Roman" w:cs="Times New Roman"/>
                <w:lang w:eastAsia="en-GB"/>
              </w:rPr>
              <w:t xml:space="preserve"> Rënie e frekuentimit të kopshteve (–18%).• Raport fëmijë–mësues më i ulët si pasojë e rënies së pjesëmarrjes dhe jo shtimit të stafit.• Territor malor dhe fshatra të shpërndarë që vështirësojnë aksesin e fëmijëve.• Mungesë totale e arsimit parashkollor privat.• Mungesë e Planit Vendor të Arsimit Parauniversitar.• Nënshfrytëzim i kapaciteteve ekzistuese të objekteve.</w:t>
            </w:r>
          </w:p>
        </w:tc>
      </w:tr>
      <w:tr w:rsidR="00D70E35" w:rsidRPr="00D70E35" w14:paraId="3CE1DCFE" w14:textId="77777777" w:rsidTr="00D70E35">
        <w:tc>
          <w:tcPr>
            <w:tcW w:w="0" w:type="auto"/>
            <w:hideMark/>
          </w:tcPr>
          <w:p w14:paraId="4015D60D" w14:textId="77777777" w:rsidR="00D70E35" w:rsidRPr="00D70E35" w:rsidRDefault="00D70E35" w:rsidP="00D70E35">
            <w:pPr>
              <w:rPr>
                <w:rFonts w:ascii="Times New Roman" w:eastAsia="Times New Roman" w:hAnsi="Times New Roman" w:cs="Times New Roman"/>
                <w:lang w:eastAsia="en-GB"/>
              </w:rPr>
            </w:pPr>
            <w:r w:rsidRPr="00D70E35">
              <w:rPr>
                <w:rFonts w:ascii="Times New Roman" w:eastAsia="Times New Roman" w:hAnsi="Times New Roman" w:cs="Times New Roman"/>
                <w:b/>
                <w:bCs/>
                <w:lang w:eastAsia="en-GB"/>
              </w:rPr>
              <w:t>Objektiva për 2025</w:t>
            </w:r>
          </w:p>
        </w:tc>
        <w:tc>
          <w:tcPr>
            <w:tcW w:w="0" w:type="auto"/>
            <w:hideMark/>
          </w:tcPr>
          <w:p w14:paraId="20C190EF" w14:textId="77777777" w:rsidR="00D70E35" w:rsidRPr="00D70E35" w:rsidRDefault="00D70E35" w:rsidP="00D70E35">
            <w:pPr>
              <w:rPr>
                <w:rFonts w:ascii="Times New Roman" w:eastAsia="Times New Roman" w:hAnsi="Times New Roman" w:cs="Times New Roman"/>
                <w:lang w:eastAsia="en-GB"/>
              </w:rPr>
            </w:pPr>
            <w:r w:rsidRPr="00D70E35">
              <w:rPr>
                <w:rFonts w:ascii="Times New Roman" w:eastAsia="Times New Roman" w:hAnsi="Times New Roman" w:cs="Times New Roman"/>
                <w:lang w:eastAsia="en-GB"/>
              </w:rPr>
              <w:t>• Hartimi dhe miratimi i Planit Vendor për Arsimin Parauniversitar.• Rritje e frekuentimit në kopshte dhe çerdhe përmes masave stimuluese dhe lehtësimit të aksesit (transport, orare të zgjeruara).• Analizë territoriale për rishpërndarjen e stafit arsimor sipas kërkesës reale.• Modelim i shërbimeve alternative për zonat e thella (klasa satelit, qendra komunitare).• Bashkëpunim më i ngushtë me prindërit dhe komunitetet për rritjen e pjesëmarrjes.• Planifikim i investimeve të lidhura me përdorimin real të kapaciteteve.</w:t>
            </w:r>
          </w:p>
        </w:tc>
      </w:tr>
    </w:tbl>
    <w:p w14:paraId="422DFB83" w14:textId="77777777" w:rsidR="00D70E35" w:rsidRDefault="00D70E35" w:rsidP="00206F67">
      <w:pPr>
        <w:spacing w:beforeAutospacing="1" w:after="100" w:afterAutospacing="1"/>
        <w:rPr>
          <w:rFonts w:ascii="Bahnschrift" w:hAnsi="Bahnschrift"/>
          <w:sz w:val="22"/>
          <w:szCs w:val="22"/>
        </w:rPr>
      </w:pPr>
    </w:p>
    <w:p w14:paraId="4F18E408" w14:textId="696DC994" w:rsidR="00D70E35" w:rsidRDefault="003814C2" w:rsidP="00206F67">
      <w:pPr>
        <w:spacing w:beforeAutospacing="1" w:after="100" w:afterAutospacing="1"/>
        <w:rPr>
          <w:rFonts w:ascii="Bahnschrift" w:hAnsi="Bahnschrift"/>
          <w:sz w:val="22"/>
          <w:szCs w:val="22"/>
        </w:rPr>
      </w:pPr>
      <w:r>
        <w:rPr>
          <w:rFonts w:ascii="Bahnschrift" w:hAnsi="Bahnschrift"/>
          <w:noProof/>
          <w:sz w:val="22"/>
          <w:szCs w:val="22"/>
        </w:rPr>
        <w:lastRenderedPageBreak/>
        <w:pict w14:anchorId="28DBA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 style="position:absolute;margin-left:0;margin-top:0;width:527pt;height:594pt;z-index:251674624;mso-wrap-edited:f;mso-width-percent:0;mso-height-percent:0;mso-position-horizontal-relative:text;mso-position-vertical-relative:text;mso-width-percent:0;mso-height-percent:0">
            <v:imagedata r:id="rId13" o:title=""/>
            <w10:wrap type="square"/>
          </v:shape>
          <o:OLEObject Type="Embed" ProgID="Word.Document.12" ShapeID="_x0000_s1039" DrawAspect="Content" ObjectID="_1825019485" r:id="rId14">
            <o:FieldCodes>\s</o:FieldCodes>
          </o:OLEObject>
        </w:pict>
      </w:r>
    </w:p>
    <w:p w14:paraId="35FB9C08" w14:textId="64E5FFEB" w:rsidR="00904F51" w:rsidRPr="00904F51" w:rsidRDefault="005A1AE1" w:rsidP="00904F51">
      <w:pPr>
        <w:pStyle w:val="Heading2"/>
        <w:shd w:val="clear" w:color="auto" w:fill="C00000"/>
        <w:rPr>
          <w:rFonts w:ascii="Segoe UI Emoji" w:hAnsi="Segoe UI Emoji" w:cs="Segoe UI Emoji"/>
          <w:color w:val="D9E2F3" w:themeColor="accent1" w:themeTint="33"/>
          <w:sz w:val="72"/>
          <w:szCs w:val="72"/>
        </w:rPr>
      </w:pPr>
      <w:bookmarkStart w:id="8" w:name="_Toc209362163"/>
      <w:r w:rsidRPr="00904F51">
        <w:rPr>
          <w:rFonts w:ascii="Segoe UI Emoji" w:hAnsi="Segoe UI Emoji" w:cs="Segoe UI Emoji"/>
          <w:b/>
          <w:color w:val="D9E2F3" w:themeColor="accent1" w:themeTint="33"/>
          <w:sz w:val="80"/>
          <w:szCs w:val="80"/>
        </w:rPr>
        <w:lastRenderedPageBreak/>
        <w:t>🗑</w:t>
      </w:r>
      <w:r w:rsidRPr="00904F51">
        <w:rPr>
          <w:rFonts w:ascii="Segoe UI Emoji" w:hAnsi="Segoe UI Emoji" w:cs="Segoe UI Emoji"/>
          <w:color w:val="D9E2F3" w:themeColor="accent1" w:themeTint="33"/>
          <w:sz w:val="80"/>
          <w:szCs w:val="80"/>
        </w:rPr>
        <w:t xml:space="preserve"> </w:t>
      </w:r>
      <w:r w:rsidR="00212134" w:rsidRPr="00904F51">
        <w:rPr>
          <w:rFonts w:ascii="Segoe UI Emoji" w:hAnsi="Segoe UI Emoji" w:cs="Segoe UI Emoji"/>
          <w:color w:val="D9E2F3" w:themeColor="accent1" w:themeTint="33"/>
          <w:sz w:val="56"/>
          <w:szCs w:val="56"/>
        </w:rPr>
        <w:t xml:space="preserve">Menaxhimi </w:t>
      </w:r>
      <w:r w:rsidR="00904F51" w:rsidRPr="00904F51">
        <w:rPr>
          <w:rFonts w:ascii="Segoe UI Emoji" w:hAnsi="Segoe UI Emoji" w:cs="Segoe UI Emoji"/>
          <w:color w:val="D9E2F3" w:themeColor="accent1" w:themeTint="33"/>
          <w:sz w:val="56"/>
          <w:szCs w:val="56"/>
        </w:rPr>
        <w:t>i</w:t>
      </w:r>
      <w:r w:rsidR="00212134" w:rsidRPr="00904F51">
        <w:rPr>
          <w:rFonts w:ascii="Segoe UI Emoji" w:hAnsi="Segoe UI Emoji" w:cs="Segoe UI Emoji"/>
          <w:color w:val="D9E2F3" w:themeColor="accent1" w:themeTint="33"/>
          <w:sz w:val="56"/>
          <w:szCs w:val="56"/>
        </w:rPr>
        <w:t xml:space="preserve"> Mbetjeve</w:t>
      </w:r>
      <w:bookmarkEnd w:id="8"/>
      <w:r w:rsidR="00904F51" w:rsidRPr="00904F51">
        <w:rPr>
          <w:rFonts w:ascii="Segoe UI Emoji" w:hAnsi="Segoe UI Emoji" w:cs="Segoe UI Emoji"/>
          <w:color w:val="D9E2F3" w:themeColor="accent1" w:themeTint="33"/>
          <w:sz w:val="56"/>
          <w:szCs w:val="56"/>
        </w:rPr>
        <w:t xml:space="preserve"> </w:t>
      </w:r>
    </w:p>
    <w:p w14:paraId="77BFEB76" w14:textId="24D31E41" w:rsidR="000D0460" w:rsidRDefault="002610F1" w:rsidP="0041137A">
      <w:pPr>
        <w:rPr>
          <w:rFonts w:ascii="Bahnschrift" w:hAnsi="Bahnschrift"/>
          <w:sz w:val="22"/>
          <w:szCs w:val="22"/>
        </w:rPr>
      </w:pPr>
      <w:r w:rsidRPr="005648A1">
        <w:rPr>
          <w:rFonts w:ascii="Bahnschrift" w:hAnsi="Bahnschrift"/>
          <w:b/>
          <w:bCs/>
          <w:sz w:val="22"/>
          <w:szCs w:val="22"/>
        </w:rPr>
        <w:t>Përshkrim i përgjithshëm:</w:t>
      </w:r>
      <w:r w:rsidRPr="002610F1">
        <w:rPr>
          <w:rFonts w:ascii="Bahnschrift" w:hAnsi="Bahnschrift"/>
          <w:sz w:val="22"/>
          <w:szCs w:val="22"/>
        </w:rPr>
        <w:t xml:space="preserve"> Bashkitë janë përgjegjëse për menaxhimin e mbetjeve urbane dhe mbrojtjen e mjedisit në territorin e tyre. </w:t>
      </w:r>
      <w:proofErr w:type="gramStart"/>
      <w:r w:rsidRPr="002610F1">
        <w:rPr>
          <w:rFonts w:ascii="Bahnschrift" w:hAnsi="Bahnschrift"/>
          <w:sz w:val="22"/>
          <w:szCs w:val="22"/>
        </w:rPr>
        <w:t>Ky</w:t>
      </w:r>
      <w:proofErr w:type="gramEnd"/>
      <w:r w:rsidRPr="002610F1">
        <w:rPr>
          <w:rFonts w:ascii="Bahnschrift" w:hAnsi="Bahnschrift"/>
          <w:sz w:val="22"/>
          <w:szCs w:val="22"/>
        </w:rPr>
        <w:t xml:space="preserve"> funksion përfshin të gjitha aspektet që lidhen me mbledhjen, largimin, transportin, trajtimin dhe depozitimin e mbetjeve, si dhe mirëmbajtjen e pastërtisë në hapësirat publike si rrugët, sheshet, tregjet dhe parqet. </w:t>
      </w:r>
      <w:proofErr w:type="gramStart"/>
      <w:r w:rsidRPr="002610F1">
        <w:rPr>
          <w:rFonts w:ascii="Bahnschrift" w:hAnsi="Bahnschrift"/>
          <w:sz w:val="22"/>
          <w:szCs w:val="22"/>
        </w:rPr>
        <w:t>Nëpërmjet këtij funksioni, bashkitë sigurojnë krijimin dhe operimin e sistemeve vendore për menaxhimin e mbetjeve, duke përfshirë strukturat teknike, logjistikën, kontraktimin e subjekteve private dhe kontrollin e zbatimit të standardeve mjedisore.</w:t>
      </w:r>
      <w:proofErr w:type="gramEnd"/>
      <w:r w:rsidRPr="002610F1">
        <w:rPr>
          <w:rFonts w:ascii="Bahnschrift" w:hAnsi="Bahnschrift"/>
          <w:sz w:val="22"/>
          <w:szCs w:val="22"/>
        </w:rPr>
        <w:t xml:space="preserve"> Shembuj të aktiviteteve përfshijnë:  Mbikëqyrjen dhe funksionimin e sistemeve për grumbullimin dhe trajtimin e mbetjeve; Pastrimin dhe mirëmbajtjen e hapësirave publike (rrugë, parqe, tregje, kopshte publike); Dhënien e granteve ose fondeve për investime në infrastrukturën e mbetjeve; Monitorimin e ndotjes dhe koordinimin me institucionet për mbrojtjen e mjedisit. </w:t>
      </w:r>
      <w:proofErr w:type="gramStart"/>
      <w:r w:rsidRPr="002610F1">
        <w:rPr>
          <w:rFonts w:ascii="Bahnschrift" w:hAnsi="Bahnschrift"/>
          <w:sz w:val="22"/>
          <w:szCs w:val="22"/>
        </w:rPr>
        <w:t>Ky</w:t>
      </w:r>
      <w:proofErr w:type="gramEnd"/>
      <w:r w:rsidRPr="002610F1">
        <w:rPr>
          <w:rFonts w:ascii="Bahnschrift" w:hAnsi="Bahnschrift"/>
          <w:sz w:val="22"/>
          <w:szCs w:val="22"/>
        </w:rPr>
        <w:t xml:space="preserve"> funksion rrjedh nga Ligji Nr. 139/2015 “Për vetëqeverisjen vendore”, neni 23, i cili i njeh bashkive kompetencën për menaxhimin e shërbimeve publike vendore, përfshirë menaxhimin e mbetjeve urbane dhe mirëmbajtjen e pastërtisë publike.</w:t>
      </w:r>
    </w:p>
    <w:p w14:paraId="523C5D28" w14:textId="57B391E8" w:rsidR="00B20DEB" w:rsidRDefault="00B20DEB" w:rsidP="0041137A">
      <w:pPr>
        <w:rPr>
          <w:rFonts w:ascii="Bahnschrift" w:hAnsi="Bahnschrift"/>
          <w:sz w:val="22"/>
          <w:szCs w:val="22"/>
        </w:rPr>
      </w:pPr>
      <w:r>
        <w:rPr>
          <w:rFonts w:ascii="Bahnschrift" w:hAnsi="Bahnschrift"/>
          <w:sz w:val="22"/>
          <w:szCs w:val="22"/>
        </w:rPr>
        <w:t>ANALIZA E SHERBIMIT</w:t>
      </w:r>
    </w:p>
    <w:p w14:paraId="66DCE949" w14:textId="77777777" w:rsidR="00B20DEB" w:rsidRPr="00B20DEB" w:rsidRDefault="00B20DEB" w:rsidP="00B20DEB">
      <w:pPr>
        <w:spacing w:after="0" w:line="240" w:lineRule="auto"/>
        <w:rPr>
          <w:rFonts w:ascii="Bahnschrift" w:hAnsi="Bahnschrift"/>
          <w:sz w:val="22"/>
          <w:szCs w:val="22"/>
        </w:rPr>
      </w:pPr>
      <w:proofErr w:type="gramStart"/>
      <w:r w:rsidRPr="00B20DEB">
        <w:rPr>
          <w:rFonts w:ascii="Bahnschrift" w:hAnsi="Bahnschrift"/>
          <w:sz w:val="22"/>
          <w:szCs w:val="22"/>
        </w:rPr>
        <w:t>Në vitin 2024, Bashkia Librazhd ka shënuar përmirësim të dukshëm në mbulimin e popullsisë me shërbimin e menaxhimit të mbetjeve, i cili është rritur nga 61.1% në 64.4%, falë zgjerimit të shërbimit në zonat urbane.</w:t>
      </w:r>
      <w:proofErr w:type="gramEnd"/>
      <w:r w:rsidRPr="00B20DEB">
        <w:rPr>
          <w:rFonts w:ascii="Bahnschrift" w:hAnsi="Bahnschrift"/>
          <w:sz w:val="22"/>
          <w:szCs w:val="22"/>
        </w:rPr>
        <w:t xml:space="preserve"> Në qytet, mbulimi ka arritur 100%, ndërsa në zonat rurale është ulur nga 36.5% në 28.9%, duke reflektuar vështirësitë e ofrimit të shërbimit në terrene të shpërndara dhe me densitet të ulët banimi.</w:t>
      </w:r>
      <w:r w:rsidRPr="00B20DEB">
        <w:rPr>
          <w:rFonts w:ascii="Bahnschrift" w:hAnsi="Bahnschrift"/>
          <w:sz w:val="22"/>
          <w:szCs w:val="22"/>
        </w:rPr>
        <w:br/>
        <w:t xml:space="preserve">Një tjetër përmirësim pozitiv është vërejtur në mbulimin e kostos së shërbimit me tarifë, i cili është rritur nga 46.3% në 57.1%, çka tregon një administrim më efikas të të ardhurave vendore dhe ndërgjegjësim më të lartë të qytetarëve për pagesën e tarifës. </w:t>
      </w:r>
      <w:proofErr w:type="gramStart"/>
      <w:r w:rsidRPr="00B20DEB">
        <w:rPr>
          <w:rFonts w:ascii="Bahnschrift" w:hAnsi="Bahnschrift"/>
          <w:sz w:val="22"/>
          <w:szCs w:val="22"/>
        </w:rPr>
        <w:t>Sasia e mbetjeve të gjeneruara për banor ka pësuar rënie të lehtë (</w:t>
      </w:r>
      <w:r w:rsidRPr="00B20DEB">
        <w:rPr>
          <w:rFonts w:ascii="Cambria Math" w:hAnsi="Cambria Math" w:cs="Cambria Math"/>
          <w:sz w:val="22"/>
          <w:szCs w:val="22"/>
        </w:rPr>
        <w:t>−</w:t>
      </w:r>
      <w:r w:rsidRPr="00B20DEB">
        <w:rPr>
          <w:rFonts w:ascii="Bahnschrift" w:hAnsi="Bahnschrift"/>
          <w:sz w:val="22"/>
          <w:szCs w:val="22"/>
        </w:rPr>
        <w:t>3%), që mund të lidhet me reduktim të konsumit ose me raportim më të saktë të sasive të mbledhura.</w:t>
      </w:r>
      <w:proofErr w:type="gramEnd"/>
      <w:r w:rsidRPr="00B20DEB">
        <w:rPr>
          <w:rFonts w:ascii="Bahnschrift" w:hAnsi="Bahnschrift"/>
          <w:sz w:val="22"/>
          <w:szCs w:val="22"/>
        </w:rPr>
        <w:br/>
      </w:r>
      <w:proofErr w:type="gramStart"/>
      <w:r w:rsidRPr="00B20DEB">
        <w:rPr>
          <w:rFonts w:ascii="Bahnschrift" w:hAnsi="Bahnschrift"/>
          <w:sz w:val="22"/>
          <w:szCs w:val="22"/>
        </w:rPr>
        <w:t>Megjithatë, bashkia nuk ka ende plan vendor të menaxhimit të mbetjeve, çka kufizon aftësinë për planifikim afatgjatë dhe integrim me objektivat kombëtarë për ekonominë qarkore dhe riciklimin.</w:t>
      </w:r>
      <w:proofErr w:type="gramEnd"/>
    </w:p>
    <w:p w14:paraId="43EE7B59" w14:textId="77777777" w:rsidR="00B20DEB" w:rsidRPr="00B20DEB" w:rsidRDefault="00B20DEB" w:rsidP="00B20DEB">
      <w:pPr>
        <w:spacing w:after="0" w:line="240" w:lineRule="auto"/>
        <w:rPr>
          <w:rFonts w:ascii="Bahnschrift" w:hAnsi="Bahnschrift"/>
          <w:sz w:val="22"/>
          <w:szCs w:val="22"/>
        </w:rPr>
      </w:pPr>
    </w:p>
    <w:tbl>
      <w:tblPr>
        <w:tblStyle w:val="TableGrid"/>
        <w:tblW w:w="0" w:type="auto"/>
        <w:tblLook w:val="04A0" w:firstRow="1" w:lastRow="0" w:firstColumn="1" w:lastColumn="0" w:noHBand="0" w:noVBand="1"/>
      </w:tblPr>
      <w:tblGrid>
        <w:gridCol w:w="1394"/>
        <w:gridCol w:w="8182"/>
      </w:tblGrid>
      <w:tr w:rsidR="00B20DEB" w:rsidRPr="00B20DEB" w14:paraId="195B68D8" w14:textId="77777777" w:rsidTr="00B20DEB">
        <w:tc>
          <w:tcPr>
            <w:tcW w:w="0" w:type="auto"/>
            <w:tcBorders>
              <w:top w:val="single" w:sz="4" w:space="0" w:color="auto"/>
              <w:left w:val="single" w:sz="4" w:space="0" w:color="auto"/>
              <w:bottom w:val="single" w:sz="4" w:space="0" w:color="auto"/>
              <w:right w:val="single" w:sz="4" w:space="0" w:color="auto"/>
            </w:tcBorders>
            <w:hideMark/>
          </w:tcPr>
          <w:p w14:paraId="2EFED967" w14:textId="77777777" w:rsidR="00B20DEB" w:rsidRPr="00B20DEB" w:rsidRDefault="00B20DEB">
            <w:pPr>
              <w:spacing w:after="0" w:line="240" w:lineRule="auto"/>
              <w:rPr>
                <w:rFonts w:ascii="Bahnschrift" w:eastAsiaTheme="minorEastAsia" w:hAnsi="Bahnschrift"/>
                <w:sz w:val="22"/>
              </w:rPr>
            </w:pPr>
            <w:r w:rsidRPr="00B20DEB">
              <w:rPr>
                <w:rFonts w:ascii="Bahnschrift" w:eastAsiaTheme="minorEastAsia" w:hAnsi="Bahnschrift"/>
                <w:sz w:val="22"/>
              </w:rPr>
              <w:t>Arritje (2024)</w:t>
            </w:r>
          </w:p>
        </w:tc>
        <w:tc>
          <w:tcPr>
            <w:tcW w:w="0" w:type="auto"/>
            <w:tcBorders>
              <w:top w:val="single" w:sz="4" w:space="0" w:color="auto"/>
              <w:left w:val="single" w:sz="4" w:space="0" w:color="auto"/>
              <w:bottom w:val="single" w:sz="4" w:space="0" w:color="auto"/>
              <w:right w:val="single" w:sz="4" w:space="0" w:color="auto"/>
            </w:tcBorders>
            <w:hideMark/>
          </w:tcPr>
          <w:p w14:paraId="01E7169E" w14:textId="77777777" w:rsidR="00B20DEB" w:rsidRPr="00B20DEB" w:rsidRDefault="00B20DEB">
            <w:pPr>
              <w:spacing w:after="0" w:line="240" w:lineRule="auto"/>
              <w:rPr>
                <w:rFonts w:ascii="Bahnschrift" w:eastAsiaTheme="minorEastAsia" w:hAnsi="Bahnschrift"/>
                <w:sz w:val="22"/>
              </w:rPr>
            </w:pPr>
            <w:r w:rsidRPr="00B20DEB">
              <w:rPr>
                <w:rFonts w:ascii="Bahnschrift" w:eastAsiaTheme="minorEastAsia" w:hAnsi="Bahnschrift"/>
                <w:sz w:val="22"/>
              </w:rPr>
              <w:t xml:space="preserve">- Rritje e mbulimit të popullsisë me shërbimin e mbetjeve nga 61.1% </w:t>
            </w:r>
            <w:r w:rsidRPr="00B20DEB">
              <w:rPr>
                <w:rFonts w:ascii="Arial" w:eastAsiaTheme="minorEastAsia" w:hAnsi="Arial" w:cs="Arial"/>
                <w:sz w:val="22"/>
              </w:rPr>
              <w:t>→</w:t>
            </w:r>
            <w:r w:rsidRPr="00B20DEB">
              <w:rPr>
                <w:rFonts w:ascii="Bahnschrift" w:eastAsiaTheme="minorEastAsia" w:hAnsi="Bahnschrift"/>
                <w:sz w:val="22"/>
              </w:rPr>
              <w:t xml:space="preserve"> 64.4%</w:t>
            </w:r>
            <w:proofErr w:type="gramStart"/>
            <w:r w:rsidRPr="00B20DEB">
              <w:rPr>
                <w:rFonts w:ascii="Bahnschrift" w:eastAsiaTheme="minorEastAsia" w:hAnsi="Bahnschrift"/>
                <w:sz w:val="22"/>
              </w:rPr>
              <w:t>.-</w:t>
            </w:r>
            <w:proofErr w:type="gramEnd"/>
            <w:r w:rsidRPr="00B20DEB">
              <w:rPr>
                <w:rFonts w:ascii="Bahnschrift" w:eastAsiaTheme="minorEastAsia" w:hAnsi="Bahnschrift"/>
                <w:sz w:val="22"/>
              </w:rPr>
              <w:t xml:space="preserve"> Mbulim i plotë i zonës urbane me shërbim (100%).- Rritje e mbulimit të kostos nga 46.3% </w:t>
            </w:r>
            <w:r w:rsidRPr="00B20DEB">
              <w:rPr>
                <w:rFonts w:ascii="Arial" w:eastAsiaTheme="minorEastAsia" w:hAnsi="Arial" w:cs="Arial"/>
                <w:sz w:val="22"/>
              </w:rPr>
              <w:t>→</w:t>
            </w:r>
            <w:r w:rsidRPr="00B20DEB">
              <w:rPr>
                <w:rFonts w:ascii="Bahnschrift" w:eastAsiaTheme="minorEastAsia" w:hAnsi="Bahnschrift"/>
                <w:sz w:val="22"/>
              </w:rPr>
              <w:t xml:space="preserve"> 57.1%.- Reduktim i sasisë së mbetjeve të gjeneruara për banor (</w:t>
            </w:r>
            <w:r w:rsidRPr="00B20DEB">
              <w:rPr>
                <w:rFonts w:ascii="Cambria Math" w:eastAsiaTheme="minorEastAsia" w:hAnsi="Cambria Math" w:cs="Cambria Math"/>
                <w:sz w:val="22"/>
              </w:rPr>
              <w:t>−</w:t>
            </w:r>
            <w:r w:rsidRPr="00B20DEB">
              <w:rPr>
                <w:rFonts w:ascii="Bahnschrift" w:eastAsiaTheme="minorEastAsia" w:hAnsi="Bahnschrift"/>
                <w:sz w:val="22"/>
              </w:rPr>
              <w:t>3%).- Përmirësim i raportimit dhe mbledhjes së të ardhurave nga tarifa.</w:t>
            </w:r>
          </w:p>
        </w:tc>
      </w:tr>
      <w:tr w:rsidR="00B20DEB" w:rsidRPr="00B20DEB" w14:paraId="23CD393E" w14:textId="77777777" w:rsidTr="00B20DEB">
        <w:tc>
          <w:tcPr>
            <w:tcW w:w="0" w:type="auto"/>
            <w:tcBorders>
              <w:top w:val="single" w:sz="4" w:space="0" w:color="auto"/>
              <w:left w:val="single" w:sz="4" w:space="0" w:color="auto"/>
              <w:bottom w:val="single" w:sz="4" w:space="0" w:color="auto"/>
              <w:right w:val="single" w:sz="4" w:space="0" w:color="auto"/>
            </w:tcBorders>
            <w:hideMark/>
          </w:tcPr>
          <w:p w14:paraId="62D1D7D9" w14:textId="77777777" w:rsidR="00B20DEB" w:rsidRPr="00B20DEB" w:rsidRDefault="00B20DEB">
            <w:pPr>
              <w:spacing w:after="0" w:line="240" w:lineRule="auto"/>
              <w:rPr>
                <w:rFonts w:ascii="Bahnschrift" w:eastAsiaTheme="minorEastAsia" w:hAnsi="Bahnschrift"/>
                <w:sz w:val="22"/>
              </w:rPr>
            </w:pPr>
            <w:r w:rsidRPr="00B20DEB">
              <w:rPr>
                <w:rFonts w:ascii="Bahnschrift" w:eastAsiaTheme="minorEastAsia" w:hAnsi="Bahnschrift"/>
                <w:sz w:val="22"/>
              </w:rPr>
              <w:t>Sfidat</w:t>
            </w:r>
          </w:p>
        </w:tc>
        <w:tc>
          <w:tcPr>
            <w:tcW w:w="0" w:type="auto"/>
            <w:tcBorders>
              <w:top w:val="single" w:sz="4" w:space="0" w:color="auto"/>
              <w:left w:val="single" w:sz="4" w:space="0" w:color="auto"/>
              <w:bottom w:val="single" w:sz="4" w:space="0" w:color="auto"/>
              <w:right w:val="single" w:sz="4" w:space="0" w:color="auto"/>
            </w:tcBorders>
            <w:hideMark/>
          </w:tcPr>
          <w:p w14:paraId="27528536" w14:textId="77777777" w:rsidR="00B20DEB" w:rsidRPr="00B20DEB" w:rsidRDefault="00B20DEB">
            <w:pPr>
              <w:spacing w:after="0" w:line="240" w:lineRule="auto"/>
              <w:rPr>
                <w:rFonts w:ascii="Bahnschrift" w:eastAsiaTheme="minorEastAsia" w:hAnsi="Bahnschrift"/>
                <w:sz w:val="22"/>
              </w:rPr>
            </w:pPr>
            <w:r w:rsidRPr="00B20DEB">
              <w:rPr>
                <w:rFonts w:ascii="Bahnschrift" w:eastAsiaTheme="minorEastAsia" w:hAnsi="Bahnschrift"/>
                <w:sz w:val="22"/>
              </w:rPr>
              <w:t xml:space="preserve">- Mbulim i ulët në zonat rurale (vetëm 28.9%) dhe logjistikë e kufizuar për transport.- Mungesë e Planit Vendor të Menaxhimit të Mbetjeve.- Kapacitete të kufizuara për ndarje dhe riciklim në burim.- Kosto të larta operative krahasuar me të ardhurat e mbledhura.- Nevojë për rritjen e ndërgjegjësimit qytetar dhe </w:t>
            </w:r>
            <w:r w:rsidRPr="00B20DEB">
              <w:rPr>
                <w:rFonts w:ascii="Bahnschrift" w:eastAsiaTheme="minorEastAsia" w:hAnsi="Bahnschrift"/>
                <w:sz w:val="22"/>
              </w:rPr>
              <w:lastRenderedPageBreak/>
              <w:t>përfshirjen e komunitetit në uljen e mbetjeve.</w:t>
            </w:r>
          </w:p>
        </w:tc>
      </w:tr>
      <w:tr w:rsidR="00B20DEB" w:rsidRPr="00B20DEB" w14:paraId="11DF66F3" w14:textId="77777777" w:rsidTr="00B20DEB">
        <w:tc>
          <w:tcPr>
            <w:tcW w:w="0" w:type="auto"/>
            <w:tcBorders>
              <w:top w:val="single" w:sz="4" w:space="0" w:color="auto"/>
              <w:left w:val="single" w:sz="4" w:space="0" w:color="auto"/>
              <w:bottom w:val="single" w:sz="4" w:space="0" w:color="auto"/>
              <w:right w:val="single" w:sz="4" w:space="0" w:color="auto"/>
            </w:tcBorders>
            <w:hideMark/>
          </w:tcPr>
          <w:p w14:paraId="1319C416" w14:textId="77777777" w:rsidR="00B20DEB" w:rsidRPr="00B20DEB" w:rsidRDefault="00B20DEB">
            <w:pPr>
              <w:spacing w:after="0" w:line="240" w:lineRule="auto"/>
              <w:rPr>
                <w:rFonts w:ascii="Bahnschrift" w:eastAsiaTheme="minorEastAsia" w:hAnsi="Bahnschrift"/>
                <w:sz w:val="22"/>
              </w:rPr>
            </w:pPr>
            <w:r w:rsidRPr="00B20DEB">
              <w:rPr>
                <w:rFonts w:ascii="Bahnschrift" w:eastAsiaTheme="minorEastAsia" w:hAnsi="Bahnschrift"/>
                <w:sz w:val="22"/>
              </w:rPr>
              <w:lastRenderedPageBreak/>
              <w:t>Objektivat për 2025</w:t>
            </w:r>
          </w:p>
        </w:tc>
        <w:tc>
          <w:tcPr>
            <w:tcW w:w="0" w:type="auto"/>
            <w:tcBorders>
              <w:top w:val="single" w:sz="4" w:space="0" w:color="auto"/>
              <w:left w:val="single" w:sz="4" w:space="0" w:color="auto"/>
              <w:bottom w:val="single" w:sz="4" w:space="0" w:color="auto"/>
              <w:right w:val="single" w:sz="4" w:space="0" w:color="auto"/>
            </w:tcBorders>
            <w:hideMark/>
          </w:tcPr>
          <w:p w14:paraId="5E843B2F" w14:textId="77777777" w:rsidR="00B20DEB" w:rsidRPr="00B20DEB" w:rsidRDefault="00B20DEB">
            <w:pPr>
              <w:spacing w:after="0" w:line="240" w:lineRule="auto"/>
              <w:rPr>
                <w:rFonts w:ascii="Bahnschrift" w:eastAsiaTheme="minorEastAsia" w:hAnsi="Bahnschrift"/>
                <w:sz w:val="22"/>
              </w:rPr>
            </w:pPr>
            <w:r w:rsidRPr="00B20DEB">
              <w:rPr>
                <w:rFonts w:ascii="Bahnschrift" w:eastAsiaTheme="minorEastAsia" w:hAnsi="Bahnschrift"/>
                <w:sz w:val="22"/>
              </w:rPr>
              <w:t>- Hartimi dhe miratimi i Planit Vendor të Menaxhimit të Mbetjeve</w:t>
            </w:r>
            <w:proofErr w:type="gramStart"/>
            <w:r w:rsidRPr="00B20DEB">
              <w:rPr>
                <w:rFonts w:ascii="Bahnschrift" w:eastAsiaTheme="minorEastAsia" w:hAnsi="Bahnschrift"/>
                <w:sz w:val="22"/>
              </w:rPr>
              <w:t>.-</w:t>
            </w:r>
            <w:proofErr w:type="gramEnd"/>
            <w:r w:rsidRPr="00B20DEB">
              <w:rPr>
                <w:rFonts w:ascii="Bahnschrift" w:eastAsiaTheme="minorEastAsia" w:hAnsi="Bahnschrift"/>
                <w:sz w:val="22"/>
              </w:rPr>
              <w:t xml:space="preserve"> Rritja e mbulimit të popullsisë me shërbim në të paktën 70% të territorit.- Zgjerimi i shërbimit në fshatra me prioritet ekonomik dhe turistik.- - Rritja e mbulimit të kostos përmes efikasitetit financiar dhe ndërgjegjësimit publik.</w:t>
            </w:r>
          </w:p>
        </w:tc>
      </w:tr>
    </w:tbl>
    <w:p w14:paraId="612CEB50" w14:textId="5ACC7B23" w:rsidR="00B20DEB" w:rsidRPr="00B20DEB" w:rsidRDefault="003814C2" w:rsidP="00B20DEB">
      <w:pPr>
        <w:pStyle w:val="Heading6"/>
      </w:pPr>
      <w:r>
        <w:rPr>
          <w:rFonts w:ascii="Bahnschrift" w:hAnsi="Bahnschrift"/>
          <w:noProof/>
          <w:sz w:val="22"/>
          <w:szCs w:val="22"/>
        </w:rPr>
        <w:pict w14:anchorId="257654F0">
          <v:shape id="_x0000_s1038" type="#_x0000_t75" alt="" style="position:absolute;margin-left:-3.3pt;margin-top:39.05pt;width:515pt;height:371pt;z-index:251676672;mso-wrap-edited:f;mso-width-percent:0;mso-height-percent:0;mso-position-horizontal-relative:text;mso-position-vertical-relative:text;mso-width-percent:0;mso-height-percent:0">
            <v:imagedata r:id="rId15" o:title=""/>
            <w10:wrap type="square"/>
          </v:shape>
          <o:OLEObject Type="Embed" ProgID="Word.Document.12" ShapeID="_x0000_s1038" DrawAspect="Content" ObjectID="_1825019486" r:id="rId16">
            <o:FieldCodes>\s</o:FieldCodes>
          </o:OLEObject>
        </w:pict>
      </w:r>
      <w:r w:rsidR="00B20DEB" w:rsidRPr="00B20DEB">
        <w:t>A) Treguesit përmbledhës</w:t>
      </w:r>
    </w:p>
    <w:p w14:paraId="427D28D5" w14:textId="0AC8F786" w:rsidR="00B20DEB" w:rsidRDefault="00B20DEB" w:rsidP="00B20DEB">
      <w:pPr>
        <w:spacing w:after="0" w:line="240" w:lineRule="auto"/>
        <w:rPr>
          <w:kern w:val="2"/>
          <w14:ligatures w14:val="standardContextual"/>
        </w:rPr>
      </w:pPr>
    </w:p>
    <w:p w14:paraId="569441D4" w14:textId="45D110D0" w:rsidR="00B20DEB" w:rsidRDefault="00B20DEB" w:rsidP="00B20DEB">
      <w:pPr>
        <w:spacing w:after="0" w:line="240" w:lineRule="auto"/>
      </w:pPr>
      <w:r>
        <w:rPr>
          <w:noProof/>
        </w:rPr>
        <w:lastRenderedPageBreak/>
        <w:drawing>
          <wp:inline distT="0" distB="0" distL="0" distR="0" wp14:anchorId="154B6171" wp14:editId="07E5F3FC">
            <wp:extent cx="5664200" cy="2870200"/>
            <wp:effectExtent l="0" t="0" r="12700" b="12700"/>
            <wp:docPr id="1028601578" name="Chart 102860157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AE42AD" w14:textId="7483461F" w:rsidR="00B20DEB" w:rsidRDefault="00B20DEB" w:rsidP="00B20DEB">
      <w:pPr>
        <w:spacing w:after="0" w:line="240" w:lineRule="auto"/>
      </w:pPr>
    </w:p>
    <w:p w14:paraId="7DDD717B" w14:textId="77777777" w:rsidR="00B20DEB" w:rsidRPr="00FE35EE" w:rsidRDefault="00B20DEB" w:rsidP="00B20DEB">
      <w:pPr>
        <w:pStyle w:val="Heading6"/>
      </w:pPr>
      <w:r>
        <w:t>B</w:t>
      </w:r>
      <w:r w:rsidRPr="00FE35EE">
        <w:t xml:space="preserve">) </w:t>
      </w:r>
      <w:r w:rsidRPr="00B20DEB">
        <w:t>Shtojcë</w:t>
      </w:r>
      <w:r w:rsidRPr="00FE35EE">
        <w:t>: Të dhënat burim (Tbl_TeDhenat)</w:t>
      </w:r>
    </w:p>
    <w:p w14:paraId="38155A37" w14:textId="02ED50B4" w:rsidR="00B20DEB" w:rsidRDefault="003814C2" w:rsidP="0041137A">
      <w:pPr>
        <w:rPr>
          <w:rFonts w:ascii="Bahnschrift" w:hAnsi="Bahnschrift"/>
          <w:sz w:val="22"/>
          <w:szCs w:val="22"/>
        </w:rPr>
      </w:pPr>
      <w:r>
        <w:rPr>
          <w:rFonts w:ascii="Bahnschrift" w:hAnsi="Bahnschrift"/>
          <w:noProof/>
          <w:sz w:val="22"/>
          <w:szCs w:val="22"/>
        </w:rPr>
        <w:pict w14:anchorId="429FD470">
          <v:shape id="_x0000_s1037" type="#_x0000_t75" alt="" style="position:absolute;margin-left:0;margin-top:0;width:527.35pt;height:217.35pt;z-index:251678720;mso-wrap-edited:f;mso-width-percent:0;mso-height-percent:0;mso-position-horizontal-relative:text;mso-position-vertical-relative:text;mso-width-percent:0;mso-height-percent:0">
            <v:imagedata r:id="rId18" o:title=""/>
            <w10:wrap type="square"/>
          </v:shape>
          <o:OLEObject Type="Embed" ProgID="Word.Document.12" ShapeID="_x0000_s1037" DrawAspect="Content" ObjectID="_1825019487" r:id="rId19">
            <o:FieldCodes>\s</o:FieldCodes>
          </o:OLEObject>
        </w:pict>
      </w:r>
    </w:p>
    <w:p w14:paraId="294B213F" w14:textId="79E55FA5" w:rsidR="00A525EF" w:rsidRPr="00BD74CF" w:rsidRDefault="00904F51" w:rsidP="00904F51">
      <w:pPr>
        <w:pStyle w:val="Heading2"/>
        <w:shd w:val="clear" w:color="auto" w:fill="C00000"/>
        <w:rPr>
          <w:rFonts w:ascii="Segoe UI Emoji" w:hAnsi="Segoe UI Emoji" w:cs="Segoe UI Emoji"/>
          <w:color w:val="D9E2F3" w:themeColor="accent1" w:themeTint="33"/>
          <w:sz w:val="72"/>
          <w:szCs w:val="72"/>
          <w:lang w:val="it-IT"/>
        </w:rPr>
      </w:pPr>
      <w:bookmarkStart w:id="9" w:name="_Toc209362164"/>
      <w:r w:rsidRPr="00904F51">
        <w:rPr>
          <w:rFonts w:ascii="Segoe UI Emoji" w:hAnsi="Segoe UI Emoji" w:cs="Segoe UI Emoji"/>
          <w:b/>
          <w:color w:val="D9E2F3" w:themeColor="accent1" w:themeTint="33"/>
          <w:sz w:val="80"/>
          <w:szCs w:val="80"/>
        </w:rPr>
        <w:t>🔥</w:t>
      </w:r>
      <w:r w:rsidRPr="00BD74CF">
        <w:rPr>
          <w:rFonts w:ascii="Segoe UI Emoji" w:hAnsi="Segoe UI Emoji" w:cs="Segoe UI Emoji"/>
          <w:color w:val="D9E2F3" w:themeColor="accent1" w:themeTint="33"/>
          <w:sz w:val="80"/>
          <w:szCs w:val="80"/>
          <w:lang w:val="it-IT"/>
        </w:rPr>
        <w:t xml:space="preserve"> </w:t>
      </w:r>
      <w:r w:rsidR="00A525EF" w:rsidRPr="00BD74CF">
        <w:rPr>
          <w:rFonts w:ascii="Segoe UI Emoji" w:hAnsi="Segoe UI Emoji" w:cs="Segoe UI Emoji"/>
          <w:color w:val="D9E2F3" w:themeColor="accent1" w:themeTint="33"/>
          <w:sz w:val="56"/>
          <w:szCs w:val="56"/>
          <w:lang w:val="it-IT"/>
        </w:rPr>
        <w:t>Mbrojtja nga zjarri</w:t>
      </w:r>
      <w:bookmarkEnd w:id="9"/>
      <w:r w:rsidR="00A525EF" w:rsidRPr="00BD74CF">
        <w:rPr>
          <w:rFonts w:ascii="Segoe UI Emoji" w:hAnsi="Segoe UI Emoji" w:cs="Segoe UI Emoji"/>
          <w:color w:val="D9E2F3" w:themeColor="accent1" w:themeTint="33"/>
          <w:sz w:val="56"/>
          <w:szCs w:val="56"/>
          <w:lang w:val="it-IT"/>
        </w:rPr>
        <w:t xml:space="preserve"> </w:t>
      </w:r>
    </w:p>
    <w:p w14:paraId="68EC7246" w14:textId="3D33E799" w:rsidR="00DB4F6B" w:rsidRDefault="002610F1" w:rsidP="00DB4F6B">
      <w:pPr>
        <w:pStyle w:val="NormalWeb"/>
        <w:rPr>
          <w:rFonts w:ascii="Bahnschrift" w:hAnsi="Bahnschrift"/>
          <w:sz w:val="22"/>
          <w:szCs w:val="22"/>
          <w:lang w:val="it-IT"/>
        </w:rPr>
      </w:pPr>
      <w:r w:rsidRPr="00BD74CF">
        <w:rPr>
          <w:rFonts w:ascii="Bahnschrift" w:hAnsi="Bahnschrift"/>
          <w:b/>
          <w:bCs/>
          <w:sz w:val="22"/>
          <w:szCs w:val="22"/>
          <w:lang w:val="it-IT"/>
        </w:rPr>
        <w:t>Përshkrim i përgjithshëm:</w:t>
      </w:r>
      <w:r w:rsidRPr="00BD74CF">
        <w:rPr>
          <w:rFonts w:ascii="Bahnschrift" w:hAnsi="Bahnschrift"/>
          <w:sz w:val="22"/>
          <w:szCs w:val="22"/>
          <w:lang w:val="it-IT"/>
        </w:rPr>
        <w:t xml:space="preserve"> Bashkitë kanë përgjegjësi për garantimin e shërbimit zjarrëfikës në nivel vendor dhe për administrimin e strukturave përkatëse të parandalimit dhe mbrojtjes </w:t>
      </w:r>
      <w:r w:rsidRPr="00BD74CF">
        <w:rPr>
          <w:rFonts w:ascii="Bahnschrift" w:hAnsi="Bahnschrift"/>
          <w:sz w:val="22"/>
          <w:szCs w:val="22"/>
          <w:lang w:val="it-IT"/>
        </w:rPr>
        <w:lastRenderedPageBreak/>
        <w:t xml:space="preserve">kundër zjarrit. Ky funksion synon të sigurojë reagim të shpejtë dhe efektiv në raste emergjencash, si dhe të ndërtojë kapacitete vendore për parandalimin e zjarreve në mjedise urbane, rurale dhe pyjore. Përgjegjësitë e bashkive përfshijnë operimin dhe mirëmbajtjen e njësive zjarrëfikëse, organizimin e shërbimeve parandaluese, si dhe bashkëpunimin me strukturat qendrore për raste që tejkalojnë kapacitetet vendore. Bashkitë gjithashtu angazhohen në edukimin e komunitetit dhe trajnimin e stafit për reagim dhe menaxhim të rreziqeve nga zjarret. </w:t>
      </w:r>
    </w:p>
    <w:p w14:paraId="0B48A576" w14:textId="490E431B" w:rsidR="00B20DEB" w:rsidRDefault="00B20DEB" w:rsidP="00DB4F6B">
      <w:pPr>
        <w:pStyle w:val="NormalWeb"/>
        <w:rPr>
          <w:rFonts w:ascii="Bahnschrift" w:hAnsi="Bahnschrift"/>
          <w:sz w:val="22"/>
          <w:szCs w:val="22"/>
          <w:lang w:val="it-IT"/>
        </w:rPr>
      </w:pPr>
      <w:r>
        <w:rPr>
          <w:rFonts w:ascii="Bahnschrift" w:hAnsi="Bahnschrift"/>
          <w:sz w:val="22"/>
          <w:szCs w:val="22"/>
          <w:lang w:val="it-IT"/>
        </w:rPr>
        <w:t>ANALIZA E SHERBIMIT</w:t>
      </w:r>
    </w:p>
    <w:p w14:paraId="4BBD7F1C" w14:textId="77777777" w:rsidR="00B20DEB" w:rsidRPr="00B20DEB" w:rsidRDefault="00B20DEB" w:rsidP="00B20DEB">
      <w:pPr>
        <w:spacing w:after="0" w:line="240" w:lineRule="auto"/>
        <w:rPr>
          <w:rFonts w:ascii="Bahnschrift" w:hAnsi="Bahnschrift"/>
          <w:sz w:val="22"/>
          <w:szCs w:val="22"/>
          <w:lang w:val="it-IT"/>
        </w:rPr>
      </w:pPr>
      <w:r w:rsidRPr="00B20DEB">
        <w:rPr>
          <w:rFonts w:ascii="Bahnschrift" w:hAnsi="Bahnschrift"/>
          <w:sz w:val="22"/>
          <w:szCs w:val="22"/>
          <w:lang w:val="it-IT"/>
        </w:rPr>
        <w:t>Në vitin 2024, Bashkia Librazhd ka ruajtur stabilitet në kapacitetet e mbrojtjes nga zjarri, me 16 punonjës zjarrfikës dhe 3 mjete funksionale, pa ndryshime në raport me vitin 2023. Raportet e mbulimit (0.56 zjarrfikës për 1,500 banorë dhe 0.70 mjete për 10,000 banorë) tregojnë një shërbim funksional, por të kufizuar për territorin malor të bashkisë. Ndërhyrjet janë reaktive dhe efektive në raste emergjente, por mungojnë mekanizmat e qëndrueshëm për parandalim dhe patrullim sezonal. Për shkak të sipërfaqes së madhe pyjore dhe rrezikut të përsëritur gjatë verës, kërkohet forcim i mëtejshëm i strukturës zjarrfikëse, modernizim i mjeteve dhe rritje e bashkëpunimit ndërbashkiak.</w:t>
      </w:r>
    </w:p>
    <w:p w14:paraId="3FC22D23" w14:textId="77777777" w:rsidR="00B20DEB" w:rsidRPr="00B20DEB" w:rsidRDefault="00B20DEB" w:rsidP="00B20DEB">
      <w:pPr>
        <w:spacing w:after="0" w:line="240" w:lineRule="auto"/>
        <w:rPr>
          <w:rFonts w:ascii="Bahnschrift" w:hAnsi="Bahnschrift"/>
          <w:sz w:val="22"/>
          <w:szCs w:val="22"/>
          <w:lang w:val="it-IT"/>
        </w:rPr>
      </w:pPr>
    </w:p>
    <w:tbl>
      <w:tblPr>
        <w:tblStyle w:val="TableGrid"/>
        <w:tblW w:w="0" w:type="auto"/>
        <w:tblLook w:val="04A0" w:firstRow="1" w:lastRow="0" w:firstColumn="1" w:lastColumn="0" w:noHBand="0" w:noVBand="1"/>
      </w:tblPr>
      <w:tblGrid>
        <w:gridCol w:w="1394"/>
        <w:gridCol w:w="8182"/>
      </w:tblGrid>
      <w:tr w:rsidR="00B20DEB" w:rsidRPr="00B20DEB" w14:paraId="5AB7A997" w14:textId="77777777" w:rsidTr="004915AB">
        <w:tc>
          <w:tcPr>
            <w:tcW w:w="0" w:type="auto"/>
            <w:hideMark/>
          </w:tcPr>
          <w:p w14:paraId="174A7AFF" w14:textId="77777777" w:rsidR="00B20DEB" w:rsidRPr="00B20DEB" w:rsidRDefault="00B20DEB" w:rsidP="004915AB">
            <w:pPr>
              <w:rPr>
                <w:rFonts w:ascii="Bahnschrift" w:eastAsiaTheme="minorEastAsia" w:hAnsi="Bahnschrift"/>
                <w:sz w:val="22"/>
                <w:lang w:val="it-IT"/>
              </w:rPr>
            </w:pPr>
            <w:r w:rsidRPr="00B20DEB">
              <w:rPr>
                <w:rFonts w:ascii="Bahnschrift" w:eastAsiaTheme="minorEastAsia" w:hAnsi="Bahnschrift"/>
                <w:sz w:val="22"/>
                <w:lang w:val="it-IT"/>
              </w:rPr>
              <w:t>Arritje (2024)</w:t>
            </w:r>
          </w:p>
        </w:tc>
        <w:tc>
          <w:tcPr>
            <w:tcW w:w="0" w:type="auto"/>
            <w:hideMark/>
          </w:tcPr>
          <w:p w14:paraId="1F5D55F7" w14:textId="77777777" w:rsidR="00B20DEB" w:rsidRPr="00B20DEB" w:rsidRDefault="00B20DEB" w:rsidP="004915AB">
            <w:pPr>
              <w:rPr>
                <w:rFonts w:ascii="Bahnschrift" w:eastAsiaTheme="minorEastAsia" w:hAnsi="Bahnschrift"/>
                <w:sz w:val="22"/>
                <w:lang w:val="it-IT"/>
              </w:rPr>
            </w:pPr>
            <w:r w:rsidRPr="00B20DEB">
              <w:rPr>
                <w:rFonts w:ascii="Bahnschrift" w:eastAsiaTheme="minorEastAsia" w:hAnsi="Bahnschrift"/>
                <w:sz w:val="22"/>
                <w:lang w:val="it-IT"/>
              </w:rPr>
              <w:t>- Ruajtje e plotë e kapaciteteve ekzistuese (16 punonjës, 3 mjete funksionale).- Shërbim zjarrfikës aktiv gjatë gjithë vitit, me reagim të shpejtë ndaj emergjencave.- Bashkëpunim me Agjencinë Kombëtare të Pyjeve dhe Mbrojtjen Civile në rastet e zjarreve pyjore</w:t>
            </w:r>
          </w:p>
        </w:tc>
      </w:tr>
      <w:tr w:rsidR="00B20DEB" w:rsidRPr="00B20DEB" w14:paraId="77844BAD" w14:textId="77777777" w:rsidTr="004915AB">
        <w:tc>
          <w:tcPr>
            <w:tcW w:w="0" w:type="auto"/>
            <w:hideMark/>
          </w:tcPr>
          <w:p w14:paraId="52F1DCEC" w14:textId="77777777" w:rsidR="00B20DEB" w:rsidRPr="00B20DEB" w:rsidRDefault="00B20DEB" w:rsidP="004915AB">
            <w:pPr>
              <w:rPr>
                <w:rFonts w:ascii="Bahnschrift" w:eastAsiaTheme="minorEastAsia" w:hAnsi="Bahnschrift"/>
                <w:sz w:val="22"/>
                <w:lang w:val="it-IT"/>
              </w:rPr>
            </w:pPr>
            <w:r w:rsidRPr="00B20DEB">
              <w:rPr>
                <w:rFonts w:ascii="Bahnschrift" w:eastAsiaTheme="minorEastAsia" w:hAnsi="Bahnschrift"/>
                <w:sz w:val="22"/>
                <w:lang w:val="it-IT"/>
              </w:rPr>
              <w:t>Sfidat</w:t>
            </w:r>
          </w:p>
        </w:tc>
        <w:tc>
          <w:tcPr>
            <w:tcW w:w="0" w:type="auto"/>
            <w:hideMark/>
          </w:tcPr>
          <w:p w14:paraId="23B5261F" w14:textId="77777777" w:rsidR="00B20DEB" w:rsidRPr="00B20DEB" w:rsidRDefault="00B20DEB" w:rsidP="004915AB">
            <w:pPr>
              <w:rPr>
                <w:rFonts w:ascii="Bahnschrift" w:eastAsiaTheme="minorEastAsia" w:hAnsi="Bahnschrift"/>
                <w:sz w:val="22"/>
                <w:lang w:val="it-IT"/>
              </w:rPr>
            </w:pPr>
            <w:r w:rsidRPr="00B20DEB">
              <w:rPr>
                <w:rFonts w:ascii="Bahnschrift" w:eastAsiaTheme="minorEastAsia" w:hAnsi="Bahnschrift"/>
                <w:sz w:val="22"/>
                <w:lang w:val="it-IT"/>
              </w:rPr>
              <w:t>- Mungesë e pajisjeve moderne dhe mjeteve të reja për ndërhyrje në terren.- Burime njerëzore të pamjaftueshme për mbulimin e zonave të thella rurale.- Mungesë e planit vendor për parandalimin e zjarreve dhe patrullimin sezonal.- Vjetërsim i infrastrukturës zjarrfikëse dhe nevojë për investime në siguri operative.- Bashkëpunim i kufizuar ndërbashkiak në rastet e zjarreve në kufijtë administrativë.</w:t>
            </w:r>
          </w:p>
        </w:tc>
      </w:tr>
      <w:tr w:rsidR="00B20DEB" w:rsidRPr="00B20DEB" w14:paraId="0DC5F921" w14:textId="77777777" w:rsidTr="004915AB">
        <w:tc>
          <w:tcPr>
            <w:tcW w:w="0" w:type="auto"/>
            <w:hideMark/>
          </w:tcPr>
          <w:p w14:paraId="29581293" w14:textId="77777777" w:rsidR="00B20DEB" w:rsidRPr="00B20DEB" w:rsidRDefault="00B20DEB" w:rsidP="004915AB">
            <w:pPr>
              <w:rPr>
                <w:rFonts w:ascii="Bahnschrift" w:eastAsiaTheme="minorEastAsia" w:hAnsi="Bahnschrift"/>
                <w:sz w:val="22"/>
                <w:lang w:val="it-IT"/>
              </w:rPr>
            </w:pPr>
            <w:r w:rsidRPr="00B20DEB">
              <w:rPr>
                <w:rFonts w:ascii="Bahnschrift" w:eastAsiaTheme="minorEastAsia" w:hAnsi="Bahnschrift"/>
                <w:sz w:val="22"/>
                <w:lang w:val="it-IT"/>
              </w:rPr>
              <w:t>Objektivat për 2025</w:t>
            </w:r>
          </w:p>
        </w:tc>
        <w:tc>
          <w:tcPr>
            <w:tcW w:w="0" w:type="auto"/>
            <w:hideMark/>
          </w:tcPr>
          <w:p w14:paraId="32CD6C71" w14:textId="77777777" w:rsidR="00B20DEB" w:rsidRPr="00B20DEB" w:rsidRDefault="00B20DEB" w:rsidP="004915AB">
            <w:pPr>
              <w:rPr>
                <w:rFonts w:ascii="Bahnschrift" w:eastAsiaTheme="minorEastAsia" w:hAnsi="Bahnschrift"/>
                <w:sz w:val="22"/>
                <w:lang w:val="it-IT"/>
              </w:rPr>
            </w:pPr>
            <w:r w:rsidRPr="00B20DEB">
              <w:rPr>
                <w:rFonts w:ascii="Bahnschrift" w:eastAsiaTheme="minorEastAsia" w:hAnsi="Bahnschrift"/>
                <w:sz w:val="22"/>
                <w:lang w:val="it-IT"/>
              </w:rPr>
              <w:t>- Hartimi i Planit Vendor për Parandalimin e Zjarreve në bashkëpunim me AKM dhe AMVV.- Rritja e mjeteve funksionale nga 3 në 4, për mbulim më të gjerë territorial.- Trajnime periodike për stafin zjarrfikës në ndërhyrje dhe parandalim të zjarreve pyjore.- Krijimi i një sistemi të raportimit digjital të incidenteve për reagim më të shpejtë.- Forcimi i bashkëpunimit me komunitetet rurale për sinjalizim të hershëm dhe vëzhgim gjatë sezonit të verës.</w:t>
            </w:r>
          </w:p>
        </w:tc>
      </w:tr>
    </w:tbl>
    <w:p w14:paraId="7EF324CD" w14:textId="77777777" w:rsidR="00B20DEB" w:rsidRDefault="00B20DEB" w:rsidP="00B20DEB">
      <w:pPr>
        <w:spacing w:after="0" w:line="240" w:lineRule="auto"/>
      </w:pPr>
    </w:p>
    <w:p w14:paraId="61E82033" w14:textId="10C5C449" w:rsidR="00E720C2" w:rsidRDefault="00E720C2" w:rsidP="00E720C2">
      <w:pPr>
        <w:pStyle w:val="Heading6"/>
      </w:pPr>
      <w:r w:rsidRPr="00E720C2">
        <w:t>A) Treguesit permbledhes</w:t>
      </w:r>
    </w:p>
    <w:p w14:paraId="1E800CDE" w14:textId="3A498493" w:rsidR="00E720C2" w:rsidRPr="00DD17E9" w:rsidRDefault="003814C2" w:rsidP="00E720C2">
      <w:pPr>
        <w:pStyle w:val="Heading6"/>
      </w:pPr>
      <w:r>
        <w:rPr>
          <w:noProof/>
        </w:rPr>
        <w:lastRenderedPageBreak/>
        <w:pict w14:anchorId="3A07F426">
          <v:shape id="_x0000_s1036" type="#_x0000_t75" alt="" style="position:absolute;margin-left:-15.3pt;margin-top:0;width:527.35pt;height:134pt;z-index:251680768;mso-wrap-edited:f;mso-width-percent:0;mso-height-percent:0;mso-position-horizontal-relative:text;mso-position-vertical-relative:text;mso-width-percent:0;mso-height-percent:0">
            <v:imagedata r:id="rId20" o:title=""/>
            <w10:wrap type="square"/>
          </v:shape>
          <o:OLEObject Type="Embed" ProgID="Word.Document.12" ShapeID="_x0000_s1036" DrawAspect="Content" ObjectID="_1825019488" r:id="rId21">
            <o:FieldCodes>\s</o:FieldCodes>
          </o:OLEObject>
        </w:pict>
      </w:r>
      <w:r w:rsidR="00E720C2">
        <w:t>B</w:t>
      </w:r>
      <w:r w:rsidR="00E720C2" w:rsidRPr="00DD17E9">
        <w:t>) Shtojc</w:t>
      </w:r>
      <w:r w:rsidR="00E720C2">
        <w:t>e</w:t>
      </w:r>
      <w:r w:rsidR="00E720C2" w:rsidRPr="00DD17E9">
        <w:t>: T</w:t>
      </w:r>
      <w:r w:rsidR="00E720C2">
        <w:t>e</w:t>
      </w:r>
      <w:r w:rsidR="00E720C2" w:rsidRPr="00DD17E9">
        <w:t xml:space="preserve"> dh</w:t>
      </w:r>
      <w:r w:rsidR="00E720C2">
        <w:t>e</w:t>
      </w:r>
      <w:r w:rsidR="00E720C2" w:rsidRPr="00DD17E9">
        <w:t>nat</w:t>
      </w:r>
    </w:p>
    <w:p w14:paraId="0E07CDA9" w14:textId="3710968D" w:rsidR="00E720C2" w:rsidRPr="00E720C2" w:rsidRDefault="00DB411D" w:rsidP="00E720C2">
      <w:r>
        <w:rPr>
          <w:noProof/>
        </w:rPr>
        <w:object w:dxaOrig="10540" w:dyaOrig="1660" w14:anchorId="6CECE971">
          <v:shape id="_x0000_i1025" type="#_x0000_t75" alt="" style="width:528pt;height:83.5pt;mso-width-percent:0;mso-height-percent:0;mso-width-percent:0;mso-height-percent:0" o:ole="">
            <v:imagedata r:id="rId22" o:title=""/>
          </v:shape>
          <o:OLEObject Type="Embed" ProgID="Word.Document.12" ShapeID="_x0000_i1025" DrawAspect="Content" ObjectID="_1825019480" r:id="rId23">
            <o:FieldCodes>\s</o:FieldCodes>
          </o:OLEObject>
        </w:object>
      </w:r>
    </w:p>
    <w:p w14:paraId="4331438B" w14:textId="38D2E441" w:rsidR="00B20DEB" w:rsidRDefault="00E720C2" w:rsidP="00DB4F6B">
      <w:pPr>
        <w:pStyle w:val="NormalWeb"/>
        <w:rPr>
          <w:rFonts w:ascii="Bahnschrift" w:hAnsi="Bahnschrift"/>
          <w:sz w:val="22"/>
          <w:szCs w:val="22"/>
          <w:lang w:val="it-IT"/>
        </w:rPr>
      </w:pPr>
      <w:r>
        <w:rPr>
          <w:noProof/>
        </w:rPr>
        <w:drawing>
          <wp:inline distT="0" distB="0" distL="0" distR="0" wp14:anchorId="0D8B708D" wp14:editId="39698A05">
            <wp:extent cx="4831080" cy="2152650"/>
            <wp:effectExtent l="0" t="0" r="7620" b="0"/>
            <wp:docPr id="118052625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C69DC5" w14:textId="7C303AEB" w:rsidR="006674E2" w:rsidRPr="00821946" w:rsidRDefault="00904F51" w:rsidP="00A9345F">
      <w:pPr>
        <w:pStyle w:val="Heading2"/>
        <w:shd w:val="clear" w:color="auto" w:fill="C00000"/>
        <w:rPr>
          <w:rFonts w:ascii="Segoe UI Emoji" w:hAnsi="Segoe UI Emoji" w:cs="Segoe UI Emoji"/>
          <w:color w:val="D9E2F3" w:themeColor="accent1" w:themeTint="33"/>
          <w:sz w:val="52"/>
          <w:szCs w:val="52"/>
        </w:rPr>
      </w:pPr>
      <w:bookmarkStart w:id="10" w:name="_Toc209362165"/>
      <w:r w:rsidRPr="00245A3F">
        <w:rPr>
          <w:rFonts w:ascii="Segoe UI Emoji" w:hAnsi="Segoe UI Emoji" w:cs="Segoe UI Emoji"/>
          <w:b/>
          <w:color w:val="D9E2F3" w:themeColor="accent1" w:themeTint="33"/>
          <w:sz w:val="52"/>
          <w:szCs w:val="52"/>
        </w:rPr>
        <w:t>💧</w:t>
      </w:r>
      <w:r w:rsidRPr="00821946">
        <w:rPr>
          <w:rFonts w:ascii="Segoe UI Emoji" w:hAnsi="Segoe UI Emoji" w:cs="Segoe UI Emoji"/>
          <w:color w:val="D9E2F3" w:themeColor="accent1" w:themeTint="33"/>
          <w:sz w:val="52"/>
          <w:szCs w:val="52"/>
        </w:rPr>
        <w:t xml:space="preserve"> </w:t>
      </w:r>
      <w:r w:rsidR="006674E2" w:rsidRPr="00821946">
        <w:rPr>
          <w:rFonts w:ascii="Segoe UI Emoji" w:hAnsi="Segoe UI Emoji" w:cs="Segoe UI Emoji"/>
          <w:color w:val="D9E2F3" w:themeColor="accent1" w:themeTint="33"/>
          <w:sz w:val="52"/>
          <w:szCs w:val="52"/>
        </w:rPr>
        <w:t>Menaxhimi i infrastrukturës së ujitjes dhe kullimit</w:t>
      </w:r>
      <w:bookmarkEnd w:id="10"/>
    </w:p>
    <w:p w14:paraId="5B22F106" w14:textId="7FA1E6FE" w:rsidR="00DB4F6B" w:rsidRDefault="002610F1" w:rsidP="00B2253D">
      <w:pPr>
        <w:rPr>
          <w:rFonts w:ascii="Bahnschrift" w:hAnsi="Bahnschrift"/>
          <w:sz w:val="22"/>
          <w:szCs w:val="22"/>
        </w:rPr>
      </w:pPr>
      <w:r w:rsidRPr="00821946">
        <w:rPr>
          <w:rFonts w:ascii="Bahnschrift" w:hAnsi="Bahnschrift"/>
          <w:b/>
          <w:bCs/>
          <w:sz w:val="22"/>
          <w:szCs w:val="22"/>
        </w:rPr>
        <w:t>Përshkrim i përgjithshëm:</w:t>
      </w:r>
      <w:r w:rsidRPr="00821946">
        <w:rPr>
          <w:rFonts w:ascii="Bahnschrift" w:hAnsi="Bahnschrift"/>
          <w:sz w:val="22"/>
          <w:szCs w:val="22"/>
        </w:rPr>
        <w:t xml:space="preserve"> Funksioni për mirëmbajtjen e infrastrukturës së ujitjes dhe kullimit është pjesë e kompetencave të deleguara të NJVV-të sipas Ligjit nr. </w:t>
      </w:r>
      <w:proofErr w:type="gramStart"/>
      <w:r w:rsidRPr="00821946">
        <w:rPr>
          <w:rFonts w:ascii="Bahnschrift" w:hAnsi="Bahnschrift"/>
          <w:sz w:val="22"/>
          <w:szCs w:val="22"/>
        </w:rPr>
        <w:t>139/2015 “Për vetëqeverisjen vendore”, konkretisht neni 2</w:t>
      </w:r>
      <w:r w:rsidR="005648A1" w:rsidRPr="00821946">
        <w:rPr>
          <w:rFonts w:ascii="Bahnschrift" w:hAnsi="Bahnschrift"/>
          <w:sz w:val="22"/>
          <w:szCs w:val="22"/>
        </w:rPr>
        <w:t>7</w:t>
      </w:r>
      <w:r w:rsidRPr="00821946">
        <w:rPr>
          <w:rFonts w:ascii="Bahnschrift" w:hAnsi="Bahnschrift"/>
          <w:sz w:val="22"/>
          <w:szCs w:val="22"/>
        </w:rPr>
        <w:t xml:space="preserve"> pika 1.</w:t>
      </w:r>
      <w:proofErr w:type="gramEnd"/>
      <w:r w:rsidRPr="00821946">
        <w:rPr>
          <w:rFonts w:ascii="Bahnschrift" w:hAnsi="Bahnschrift"/>
          <w:sz w:val="22"/>
          <w:szCs w:val="22"/>
        </w:rPr>
        <w:t xml:space="preserve"> </w:t>
      </w:r>
      <w:proofErr w:type="gramStart"/>
      <w:r w:rsidRPr="00821946">
        <w:rPr>
          <w:rFonts w:ascii="Bahnschrift" w:hAnsi="Bahnschrift"/>
          <w:sz w:val="22"/>
          <w:szCs w:val="22"/>
        </w:rPr>
        <w:t>Ky</w:t>
      </w:r>
      <w:proofErr w:type="gramEnd"/>
      <w:r w:rsidRPr="00821946">
        <w:rPr>
          <w:rFonts w:ascii="Bahnschrift" w:hAnsi="Bahnschrift"/>
          <w:sz w:val="22"/>
          <w:szCs w:val="22"/>
        </w:rPr>
        <w:t xml:space="preserve"> funksion përfshin ndërtimin, administrimin dhe mirëmbajtjen e sistemeve të ujitjes dhe kullimit në territorin e bashkisë, si dhe përgatitjen e planeve vendore për menaxhimin e qëndrueshëm të rrjeteve përkatëse. </w:t>
      </w:r>
      <w:proofErr w:type="gramStart"/>
      <w:r w:rsidRPr="00821946">
        <w:rPr>
          <w:rFonts w:ascii="Bahnschrift" w:hAnsi="Bahnschrift"/>
          <w:sz w:val="22"/>
          <w:szCs w:val="22"/>
        </w:rPr>
        <w:lastRenderedPageBreak/>
        <w:t>Qëllimi i këtij funksioni është mbështetja e zhvillimit të qëndrueshëm të prodhimit bujqësor dhe mbrojtja e konsumatorëve përmes garantimit të furnizimit me ujë për vaditje dhe menaxhimit të ujërave të tepërta në zonat bujqësore.</w:t>
      </w:r>
      <w:proofErr w:type="gramEnd"/>
    </w:p>
    <w:p w14:paraId="0127A094" w14:textId="3CD9AE1D" w:rsidR="00E720C2" w:rsidRDefault="00E720C2" w:rsidP="00B2253D">
      <w:pPr>
        <w:rPr>
          <w:rFonts w:ascii="Bahnschrift" w:hAnsi="Bahnschrift"/>
          <w:sz w:val="22"/>
          <w:szCs w:val="22"/>
        </w:rPr>
      </w:pPr>
      <w:r>
        <w:rPr>
          <w:rFonts w:ascii="Bahnschrift" w:hAnsi="Bahnschrift"/>
          <w:sz w:val="22"/>
          <w:szCs w:val="22"/>
        </w:rPr>
        <w:t>ANALIZA E SHERBIMIT</w:t>
      </w:r>
    </w:p>
    <w:p w14:paraId="4893E5AC" w14:textId="77777777" w:rsidR="00E720C2" w:rsidRPr="00E720C2" w:rsidRDefault="00E720C2" w:rsidP="00E720C2">
      <w:pPr>
        <w:spacing w:after="0" w:line="240" w:lineRule="auto"/>
        <w:rPr>
          <w:rFonts w:ascii="Bahnschrift" w:hAnsi="Bahnschrift"/>
          <w:sz w:val="22"/>
          <w:szCs w:val="22"/>
        </w:rPr>
      </w:pPr>
      <w:proofErr w:type="gramStart"/>
      <w:r w:rsidRPr="00E720C2">
        <w:rPr>
          <w:rFonts w:ascii="Bahnschrift" w:hAnsi="Bahnschrift"/>
          <w:sz w:val="22"/>
          <w:szCs w:val="22"/>
        </w:rPr>
        <w:t>Në vitin 2024, sistemi i ujitjes dhe kullimit në Bashkinë Librazhd paraqet stabilitet të përgjithshëm me 43.9% të tokës bujqësore të pajisur me rrjete kanalesh.</w:t>
      </w:r>
      <w:proofErr w:type="gramEnd"/>
      <w:r w:rsidRPr="00E720C2">
        <w:rPr>
          <w:rFonts w:ascii="Bahnschrift" w:hAnsi="Bahnschrift"/>
          <w:sz w:val="22"/>
          <w:szCs w:val="22"/>
        </w:rPr>
        <w:t xml:space="preserve"> Ndërkohë, është shënuar një përmirësim në funksionalitetin e rrjeteve ujitëse, nga 94.3% në 100%, që tregon ndërhyrje të suksesshme në mirëmbajtje dhe riparime lokale. Kanaleve kulluese </w:t>
      </w:r>
      <w:proofErr w:type="gramStart"/>
      <w:r w:rsidRPr="00E720C2">
        <w:rPr>
          <w:rFonts w:ascii="Bahnschrift" w:hAnsi="Bahnschrift"/>
          <w:sz w:val="22"/>
          <w:szCs w:val="22"/>
        </w:rPr>
        <w:t>iu</w:t>
      </w:r>
      <w:proofErr w:type="gramEnd"/>
      <w:r w:rsidRPr="00E720C2">
        <w:rPr>
          <w:rFonts w:ascii="Bahnschrift" w:hAnsi="Bahnschrift"/>
          <w:sz w:val="22"/>
          <w:szCs w:val="22"/>
        </w:rPr>
        <w:t xml:space="preserve"> ruajt funksionaliteti i plotë (100%), megjithëse nuk është zgjeruar sipërfaqja e tokës së mbuluar nga sistemi. </w:t>
      </w:r>
      <w:proofErr w:type="gramStart"/>
      <w:r w:rsidRPr="00E720C2">
        <w:rPr>
          <w:rFonts w:ascii="Bahnschrift" w:hAnsi="Bahnschrift"/>
          <w:sz w:val="22"/>
          <w:szCs w:val="22"/>
        </w:rPr>
        <w:t>Kjo tregon një qasje më shumë mirëmbajtëse sesa zhvilluese, me nevojë për projekte investuese që të zgjerojnë rrjetin në zonat bujqësore të pashërbyera.</w:t>
      </w:r>
      <w:proofErr w:type="gramEnd"/>
      <w:r w:rsidRPr="00E720C2">
        <w:rPr>
          <w:rFonts w:ascii="Bahnschrift" w:hAnsi="Bahnschrift"/>
          <w:sz w:val="22"/>
          <w:szCs w:val="22"/>
        </w:rPr>
        <w:br/>
      </w:r>
      <w:proofErr w:type="gramStart"/>
      <w:r w:rsidRPr="00E720C2">
        <w:rPr>
          <w:rFonts w:ascii="Bahnschrift" w:hAnsi="Bahnschrift"/>
          <w:sz w:val="22"/>
          <w:szCs w:val="22"/>
        </w:rPr>
        <w:t>Kushtet topografike dhe fragmentimi i pronësisë ndikojnë në efikasitetin e përdorimit të ujit dhe në vështirësinë e mirëmbajtjes afatgjatë të infrastrukturës.</w:t>
      </w:r>
      <w:proofErr w:type="gramEnd"/>
      <w:r w:rsidRPr="00E720C2">
        <w:rPr>
          <w:rFonts w:ascii="Bahnschrift" w:hAnsi="Bahnschrift"/>
          <w:sz w:val="22"/>
          <w:szCs w:val="22"/>
        </w:rPr>
        <w:t xml:space="preserve"> Ndërhyrjet e ardhshme duhet të orientohen drejt planifikimit të qëndrueshëm të burimeve ujore dhe përdorimit racional të ujit për bujqësi në përputhje me direktivat e BE për menaxhimin e integruar të ujit.</w:t>
      </w:r>
    </w:p>
    <w:p w14:paraId="6CDED704" w14:textId="77777777" w:rsidR="00E720C2" w:rsidRPr="00E720C2" w:rsidRDefault="00E720C2" w:rsidP="00E720C2">
      <w:pPr>
        <w:spacing w:after="0" w:line="240" w:lineRule="auto"/>
        <w:rPr>
          <w:rFonts w:ascii="Bahnschrift" w:hAnsi="Bahnschrift"/>
          <w:sz w:val="22"/>
          <w:szCs w:val="22"/>
        </w:rPr>
      </w:pPr>
    </w:p>
    <w:p w14:paraId="3BEBA4FF" w14:textId="77777777" w:rsidR="00E720C2" w:rsidRPr="00E720C2" w:rsidRDefault="00E720C2" w:rsidP="00E720C2">
      <w:pPr>
        <w:spacing w:after="0" w:line="240" w:lineRule="auto"/>
        <w:rPr>
          <w:rFonts w:ascii="Bahnschrift" w:hAnsi="Bahnschrift"/>
          <w:sz w:val="22"/>
          <w:szCs w:val="22"/>
        </w:rPr>
      </w:pPr>
    </w:p>
    <w:tbl>
      <w:tblPr>
        <w:tblStyle w:val="TableGrid"/>
        <w:tblW w:w="0" w:type="auto"/>
        <w:tblLook w:val="04A0" w:firstRow="1" w:lastRow="0" w:firstColumn="1" w:lastColumn="0" w:noHBand="0" w:noVBand="1"/>
      </w:tblPr>
      <w:tblGrid>
        <w:gridCol w:w="1395"/>
        <w:gridCol w:w="8181"/>
      </w:tblGrid>
      <w:tr w:rsidR="00E720C2" w:rsidRPr="00E720C2" w14:paraId="18A25C4A" w14:textId="77777777" w:rsidTr="004915AB">
        <w:tc>
          <w:tcPr>
            <w:tcW w:w="0" w:type="auto"/>
            <w:hideMark/>
          </w:tcPr>
          <w:p w14:paraId="5A259DE1"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Arritje (2024)</w:t>
            </w:r>
          </w:p>
        </w:tc>
        <w:tc>
          <w:tcPr>
            <w:tcW w:w="0" w:type="auto"/>
            <w:hideMark/>
          </w:tcPr>
          <w:p w14:paraId="7026B95F"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 Ruajtje e mbulimit të tokës bujqësore me kanale (43.9%)</w:t>
            </w:r>
            <w:proofErr w:type="gramStart"/>
            <w:r w:rsidRPr="00E720C2">
              <w:rPr>
                <w:rFonts w:ascii="Bahnschrift" w:eastAsiaTheme="minorEastAsia" w:hAnsi="Bahnschrift"/>
                <w:sz w:val="22"/>
              </w:rPr>
              <w:t>.-</w:t>
            </w:r>
            <w:proofErr w:type="gramEnd"/>
            <w:r w:rsidRPr="00E720C2">
              <w:rPr>
                <w:rFonts w:ascii="Bahnschrift" w:eastAsiaTheme="minorEastAsia" w:hAnsi="Bahnschrift"/>
                <w:sz w:val="22"/>
              </w:rPr>
              <w:t xml:space="preserve"> Rritje e funksionalitetit të rrjetit të ujitjes nga 94.3% në 100%.- Funksionalitet i plotë i kanaleve kulluese (100%).- Rritje e gjatësi së rrjetit të ujitjes nga 401 km në 609 km.- Ndërhyrje të rregullta të mirëmbajtjes dhe riparimeve lokale në sistemet ekzistuese.</w:t>
            </w:r>
          </w:p>
        </w:tc>
      </w:tr>
      <w:tr w:rsidR="00E720C2" w:rsidRPr="00E720C2" w14:paraId="470A3C13" w14:textId="77777777" w:rsidTr="004915AB">
        <w:tc>
          <w:tcPr>
            <w:tcW w:w="0" w:type="auto"/>
            <w:hideMark/>
          </w:tcPr>
          <w:p w14:paraId="27BB3037"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Sfidat</w:t>
            </w:r>
          </w:p>
        </w:tc>
        <w:tc>
          <w:tcPr>
            <w:tcW w:w="0" w:type="auto"/>
            <w:hideMark/>
          </w:tcPr>
          <w:p w14:paraId="533583B3"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 Mungesë zgjerimi të rrjetit të ujitjes përtej zonave ekzistuese</w:t>
            </w:r>
            <w:proofErr w:type="gramStart"/>
            <w:r w:rsidRPr="00E720C2">
              <w:rPr>
                <w:rFonts w:ascii="Bahnschrift" w:eastAsiaTheme="minorEastAsia" w:hAnsi="Bahnschrift"/>
                <w:sz w:val="22"/>
              </w:rPr>
              <w:t>.-</w:t>
            </w:r>
            <w:proofErr w:type="gramEnd"/>
            <w:r w:rsidRPr="00E720C2">
              <w:rPr>
                <w:rFonts w:ascii="Bahnschrift" w:eastAsiaTheme="minorEastAsia" w:hAnsi="Bahnschrift"/>
                <w:sz w:val="22"/>
              </w:rPr>
              <w:t xml:space="preserve"> Nevojë për investime kapitale në kanale të reja dhe struktura ndihmëse (pompime, prita, basene).- Fragmentim i pronësisë që vështirëson bashkëpunimin për mirëmbajtje kolektive.- Erozion dhe depozitime që dëmtojnë kanalet në zona malore.- Mungesë e sistemit digjital për menaxhimin dhe monitorimin e rrjetit.</w:t>
            </w:r>
          </w:p>
        </w:tc>
      </w:tr>
      <w:tr w:rsidR="00E720C2" w:rsidRPr="00E720C2" w14:paraId="3F5F69EC" w14:textId="77777777" w:rsidTr="004915AB">
        <w:tc>
          <w:tcPr>
            <w:tcW w:w="0" w:type="auto"/>
            <w:hideMark/>
          </w:tcPr>
          <w:p w14:paraId="6EAF7AC5"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Objektivat për 2025</w:t>
            </w:r>
          </w:p>
        </w:tc>
        <w:tc>
          <w:tcPr>
            <w:tcW w:w="0" w:type="auto"/>
            <w:hideMark/>
          </w:tcPr>
          <w:p w14:paraId="5D05B78C"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 Zgjerimi i rrjetit të ujitjes në zona prioritet për bujqësi aktive (rritje mbi 45% të sipërfaqes bujqësore të mbuluar)</w:t>
            </w:r>
            <w:proofErr w:type="gramStart"/>
            <w:r w:rsidRPr="00E720C2">
              <w:rPr>
                <w:rFonts w:ascii="Bahnschrift" w:eastAsiaTheme="minorEastAsia" w:hAnsi="Bahnschrift"/>
                <w:sz w:val="22"/>
              </w:rPr>
              <w:t>.-</w:t>
            </w:r>
            <w:proofErr w:type="gramEnd"/>
            <w:r w:rsidRPr="00E720C2">
              <w:rPr>
                <w:rFonts w:ascii="Bahnschrift" w:eastAsiaTheme="minorEastAsia" w:hAnsi="Bahnschrift"/>
                <w:sz w:val="22"/>
              </w:rPr>
              <w:t xml:space="preserve"> Hartimi i Planit Vendor të Ujitjes dhe Kullimit në bashkëpunim me MARD dhe njësitë ujore lokale.- Krijimi i një regjistri për rrjetin e ujitjes dhe ndërhyrjet periodike.</w:t>
            </w:r>
          </w:p>
        </w:tc>
      </w:tr>
    </w:tbl>
    <w:p w14:paraId="05F9508D" w14:textId="0715A128" w:rsidR="00E720C2" w:rsidRDefault="00E720C2" w:rsidP="00B2253D">
      <w:pPr>
        <w:rPr>
          <w:rFonts w:ascii="Bahnschrift" w:hAnsi="Bahnschrift"/>
          <w:sz w:val="22"/>
          <w:szCs w:val="22"/>
        </w:rPr>
      </w:pPr>
      <w:r>
        <w:rPr>
          <w:noProof/>
        </w:rPr>
        <w:lastRenderedPageBreak/>
        <w:drawing>
          <wp:inline distT="0" distB="0" distL="0" distR="0" wp14:anchorId="0C2EC931" wp14:editId="5CA68236">
            <wp:extent cx="4152900" cy="2586990"/>
            <wp:effectExtent l="0" t="0" r="0" b="3810"/>
            <wp:docPr id="48372968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D07DA8" w14:textId="70CFC714" w:rsidR="00E720C2" w:rsidRPr="009007E3" w:rsidRDefault="003814C2" w:rsidP="00E720C2">
      <w:pPr>
        <w:pStyle w:val="Heading6"/>
      </w:pPr>
      <w:r>
        <w:rPr>
          <w:rFonts w:ascii="Bahnschrift" w:hAnsi="Bahnschrift"/>
          <w:noProof/>
          <w:sz w:val="22"/>
          <w:szCs w:val="22"/>
        </w:rPr>
        <w:pict w14:anchorId="749FDF32">
          <v:shape id="_x0000_s1035" type="#_x0000_t75" alt="" style="position:absolute;margin-left:-10pt;margin-top:17.2pt;width:527.35pt;height:215.35pt;z-index:251684864;mso-wrap-edited:f;mso-width-percent:0;mso-height-percent:0;mso-position-horizontal-relative:text;mso-position-vertical-relative:text;mso-width-percent:0;mso-height-percent:0">
            <v:imagedata r:id="rId26" o:title=""/>
            <w10:wrap type="square"/>
          </v:shape>
          <o:OLEObject Type="Embed" ProgID="Word.Document.12" ShapeID="_x0000_s1035" DrawAspect="Content" ObjectID="_1825019489" r:id="rId27">
            <o:FieldCodes>\s</o:FieldCodes>
          </o:OLEObject>
        </w:pict>
      </w:r>
      <w:r w:rsidR="00E720C2" w:rsidRPr="009007E3">
        <w:t>A) Treguesit përmbledhës</w:t>
      </w:r>
    </w:p>
    <w:p w14:paraId="1FA2E5F9" w14:textId="689E0F04" w:rsidR="00E720C2" w:rsidRPr="00935149" w:rsidRDefault="003814C2" w:rsidP="00E720C2">
      <w:pPr>
        <w:pStyle w:val="Heading6"/>
      </w:pPr>
      <w:r>
        <w:rPr>
          <w:rFonts w:ascii="Bahnschrift" w:hAnsi="Bahnschrift"/>
          <w:noProof/>
          <w:sz w:val="22"/>
          <w:szCs w:val="22"/>
        </w:rPr>
        <w:pict w14:anchorId="6E4AE859">
          <v:shape id="_x0000_s1034" type="#_x0000_t75" alt="" style="position:absolute;margin-left:0;margin-top:261.25pt;width:527.35pt;height:138pt;z-index:251686912;mso-wrap-edited:f;mso-width-percent:0;mso-height-percent:0;mso-position-horizontal-relative:text;mso-position-vertical-relative:text;mso-width-percent:0;mso-height-percent:0">
            <v:imagedata r:id="rId28" o:title=""/>
            <w10:wrap type="square"/>
          </v:shape>
          <o:OLEObject Type="Embed" ProgID="Word.Document.12" ShapeID="_x0000_s1034" DrawAspect="Content" ObjectID="_1825019490" r:id="rId29">
            <o:FieldCodes>\s</o:FieldCodes>
          </o:OLEObject>
        </w:pict>
      </w:r>
      <w:r w:rsidR="00E720C2">
        <w:t>B</w:t>
      </w:r>
      <w:r w:rsidR="00E720C2" w:rsidRPr="00935149">
        <w:t>) Shtojcë: Të dhënat burim (Tbl_</w:t>
      </w:r>
      <w:r w:rsidR="00E720C2" w:rsidRPr="00E720C2">
        <w:t>TeDhenat</w:t>
      </w:r>
      <w:r w:rsidR="00E720C2" w:rsidRPr="00935149">
        <w:t>)</w:t>
      </w:r>
    </w:p>
    <w:p w14:paraId="3477AA76" w14:textId="53471283" w:rsidR="00E720C2" w:rsidRDefault="00E720C2" w:rsidP="00B2253D">
      <w:pPr>
        <w:rPr>
          <w:rFonts w:ascii="Bahnschrift" w:hAnsi="Bahnschrift"/>
          <w:sz w:val="22"/>
          <w:szCs w:val="22"/>
        </w:rPr>
      </w:pPr>
    </w:p>
    <w:p w14:paraId="29BCFCB4" w14:textId="676DEDB9" w:rsidR="00F4249A" w:rsidRPr="00BD74CF" w:rsidRDefault="00904F51" w:rsidP="00A9345F">
      <w:pPr>
        <w:pStyle w:val="Heading2"/>
        <w:shd w:val="clear" w:color="auto" w:fill="C00000"/>
        <w:rPr>
          <w:rFonts w:ascii="Segoe UI Emoji" w:hAnsi="Segoe UI Emoji" w:cs="Segoe UI Emoji"/>
          <w:color w:val="D9E2F3" w:themeColor="accent1" w:themeTint="33"/>
          <w:sz w:val="56"/>
          <w:szCs w:val="56"/>
          <w:lang w:val="it-IT"/>
        </w:rPr>
      </w:pPr>
      <w:bookmarkStart w:id="11" w:name="_Toc209362166"/>
      <w:r w:rsidRPr="00A9345F">
        <w:rPr>
          <w:rFonts w:ascii="Segoe UI Emoji" w:hAnsi="Segoe UI Emoji" w:cs="Segoe UI Emoji"/>
          <w:b/>
          <w:color w:val="D9E2F3" w:themeColor="accent1" w:themeTint="33"/>
          <w:sz w:val="56"/>
          <w:szCs w:val="56"/>
        </w:rPr>
        <w:t>🌲</w:t>
      </w:r>
      <w:r w:rsidRPr="00BD74CF">
        <w:rPr>
          <w:rFonts w:ascii="Segoe UI Emoji" w:hAnsi="Segoe UI Emoji" w:cs="Segoe UI Emoji"/>
          <w:color w:val="D9E2F3" w:themeColor="accent1" w:themeTint="33"/>
          <w:sz w:val="56"/>
          <w:szCs w:val="56"/>
          <w:lang w:val="it-IT"/>
        </w:rPr>
        <w:t xml:space="preserve"> </w:t>
      </w:r>
      <w:r w:rsidR="009A4930" w:rsidRPr="00BD74CF">
        <w:rPr>
          <w:rFonts w:ascii="Segoe UI Emoji" w:hAnsi="Segoe UI Emoji" w:cs="Segoe UI Emoji"/>
          <w:color w:val="D9E2F3" w:themeColor="accent1" w:themeTint="33"/>
          <w:sz w:val="56"/>
          <w:szCs w:val="56"/>
          <w:lang w:val="it-IT"/>
        </w:rPr>
        <w:t>Administrimi i pyjeve dhe kullotave</w:t>
      </w:r>
      <w:bookmarkEnd w:id="11"/>
    </w:p>
    <w:p w14:paraId="3CF692A9" w14:textId="3F335C5D" w:rsidR="008E2EB9" w:rsidRDefault="002610F1" w:rsidP="008E2EB9">
      <w:pPr>
        <w:rPr>
          <w:rFonts w:ascii="Bahnschrift" w:hAnsi="Bahnschrift"/>
          <w:sz w:val="22"/>
          <w:szCs w:val="22"/>
          <w:lang w:val="it-IT"/>
        </w:rPr>
      </w:pPr>
      <w:r w:rsidRPr="00BD74CF">
        <w:rPr>
          <w:rFonts w:ascii="Bahnschrift" w:hAnsi="Bahnschrift"/>
          <w:sz w:val="22"/>
          <w:szCs w:val="22"/>
          <w:lang w:val="it-IT"/>
        </w:rPr>
        <w:t>Përshkrim i përgjithshëm : Funksioni i menaxhimit të pyjeve dhe kullotave, sipas nenit 27, pika 5 të Ligjit Nr. 139/2015 “Për vetëqeverisjen vendore”, i është deleguar bashkive me qëllim administrimin, mirëmbajtjen dhe zhvillimin e qëndrueshëm të fondit pyjor dhe kullosor publik që ndodhet brenda territorit të NJVV-ve</w:t>
      </w:r>
      <w:r w:rsidR="005648A1" w:rsidRPr="00BD74CF">
        <w:rPr>
          <w:rFonts w:ascii="Bahnschrift" w:hAnsi="Bahnschrift"/>
          <w:sz w:val="22"/>
          <w:szCs w:val="22"/>
          <w:lang w:val="it-IT"/>
        </w:rPr>
        <w:t xml:space="preserve">. </w:t>
      </w:r>
      <w:r w:rsidRPr="00BD74CF">
        <w:rPr>
          <w:rFonts w:ascii="Bahnschrift" w:hAnsi="Bahnschrift"/>
          <w:sz w:val="22"/>
          <w:szCs w:val="22"/>
          <w:lang w:val="it-IT"/>
        </w:rPr>
        <w:t xml:space="preserve">Bashkitë janë përgjegjëse për hartimin dhe zbatimin e planeve të mbarështimit për fondet, monitorimin e tyre dhe për sigurimin e mbrojtjes kundër dëmtimeve, ndotjes apo zjarreve, në përputhje me legjislacionin për pyjet dhe kullotat. </w:t>
      </w:r>
    </w:p>
    <w:p w14:paraId="1D9B99CA" w14:textId="77777777" w:rsidR="00E720C2" w:rsidRDefault="00E720C2" w:rsidP="00E720C2">
      <w:pPr>
        <w:rPr>
          <w:rFonts w:ascii="Bahnschrift" w:hAnsi="Bahnschrift"/>
          <w:sz w:val="22"/>
          <w:szCs w:val="22"/>
        </w:rPr>
      </w:pPr>
      <w:r>
        <w:rPr>
          <w:rFonts w:ascii="Bahnschrift" w:hAnsi="Bahnschrift"/>
          <w:sz w:val="22"/>
          <w:szCs w:val="22"/>
        </w:rPr>
        <w:t>ANALIZA E SHERBIMIT</w:t>
      </w:r>
    </w:p>
    <w:p w14:paraId="7567956C" w14:textId="77777777" w:rsidR="00E720C2" w:rsidRPr="00E720C2" w:rsidRDefault="00E720C2" w:rsidP="00E720C2">
      <w:pPr>
        <w:spacing w:after="0" w:line="240" w:lineRule="auto"/>
        <w:rPr>
          <w:rFonts w:ascii="Bahnschrift" w:hAnsi="Bahnschrift"/>
          <w:sz w:val="22"/>
          <w:szCs w:val="22"/>
        </w:rPr>
      </w:pPr>
      <w:r w:rsidRPr="00E720C2">
        <w:rPr>
          <w:rFonts w:ascii="Bahnschrift" w:hAnsi="Bahnschrift"/>
          <w:sz w:val="22"/>
          <w:szCs w:val="22"/>
        </w:rPr>
        <w:t>Bashkia Librazhd mbetet një ndër bashkitë me potencial të lartë pyjor dhe kullosor në vend, me një sipërfaqe prej rreth 37,084 ha, që përfaqëson një aset të rëndësishëm ekonomik dhe ekologjik. Në vitin 2024, shkalla e pajisjes me plane mbarështimi është rritur lehtë nga 17.87% në 20.8%, duke treguar një përmirësim të moderuar në planifikimin teknik dhe zbatimin e masave të qëndrueshme të menaxhimit të pyjeve. Kjo rritje prej 0.16% tregon se janë ndërmarrë hapa pozitivë drejt përfshirjes së më shumë sipërfaqeve në planet e miratuara, megjithëse ritmi mbetet i ngadaltë në raport me potencialin total të fondit pyjor.</w:t>
      </w:r>
    </w:p>
    <w:p w14:paraId="21DC5589" w14:textId="77777777" w:rsidR="00E720C2" w:rsidRPr="00E720C2" w:rsidRDefault="00E720C2" w:rsidP="00E720C2">
      <w:pPr>
        <w:spacing w:after="0" w:line="240" w:lineRule="auto"/>
        <w:rPr>
          <w:rFonts w:ascii="Bahnschrift" w:hAnsi="Bahnschrift"/>
          <w:sz w:val="22"/>
          <w:szCs w:val="22"/>
        </w:rPr>
      </w:pPr>
      <w:proofErr w:type="gramStart"/>
      <w:r w:rsidRPr="00E720C2">
        <w:rPr>
          <w:rFonts w:ascii="Bahnschrift" w:hAnsi="Bahnschrift"/>
          <w:sz w:val="22"/>
          <w:szCs w:val="22"/>
        </w:rPr>
        <w:t>Numri i punonjësve për 1,000 ha ka mbetur i pandryshuar me 0.29 punonjës/1,000 ha, që në terma absolutë përkthehet në 11 punonjës përgjegjës për administrimin e një territori shumë të gjerë dhe kompleks.</w:t>
      </w:r>
      <w:proofErr w:type="gramEnd"/>
      <w:r w:rsidRPr="00E720C2">
        <w:rPr>
          <w:rFonts w:ascii="Bahnschrift" w:hAnsi="Bahnschrift"/>
          <w:sz w:val="22"/>
          <w:szCs w:val="22"/>
        </w:rPr>
        <w:t xml:space="preserve"> </w:t>
      </w:r>
      <w:proofErr w:type="gramStart"/>
      <w:r w:rsidRPr="00E720C2">
        <w:rPr>
          <w:rFonts w:ascii="Bahnschrift" w:hAnsi="Bahnschrift"/>
          <w:sz w:val="22"/>
          <w:szCs w:val="22"/>
        </w:rPr>
        <w:t>Kjo tregon se kapacitetet njerëzore nuk janë rritur dhe se konsolidimi i burimeve mbetet thelbësor për të garantuar mbrojtjen aktive të fondit pyjor dhe kullosor.</w:t>
      </w:r>
      <w:proofErr w:type="gramEnd"/>
      <w:r w:rsidRPr="00E720C2">
        <w:rPr>
          <w:rFonts w:ascii="Bahnschrift" w:hAnsi="Bahnschrift"/>
          <w:sz w:val="22"/>
          <w:szCs w:val="22"/>
        </w:rPr>
        <w:t xml:space="preserve"> </w:t>
      </w:r>
      <w:proofErr w:type="gramStart"/>
      <w:r w:rsidRPr="00E720C2">
        <w:rPr>
          <w:rFonts w:ascii="Bahnschrift" w:hAnsi="Bahnschrift"/>
          <w:sz w:val="22"/>
          <w:szCs w:val="22"/>
        </w:rPr>
        <w:t>Ndërkohë, plani vendor i miratuar mbetet në fuqi pa ndryshime, çka sugjeron vazhdimësi por edhe nevojë për rishikim periodik në funksion të kushteve ekologjike dhe socio-ekonomike.</w:t>
      </w:r>
      <w:proofErr w:type="gramEnd"/>
    </w:p>
    <w:p w14:paraId="1CCA21A5" w14:textId="77777777" w:rsidR="00E720C2" w:rsidRPr="00E720C2" w:rsidRDefault="00E720C2" w:rsidP="00E720C2">
      <w:pPr>
        <w:spacing w:after="0" w:line="240" w:lineRule="auto"/>
        <w:rPr>
          <w:rFonts w:ascii="Bahnschrift" w:hAnsi="Bahnschrift"/>
          <w:sz w:val="22"/>
          <w:szCs w:val="22"/>
        </w:rPr>
      </w:pPr>
      <w:proofErr w:type="gramStart"/>
      <w:r w:rsidRPr="00E720C2">
        <w:rPr>
          <w:rFonts w:ascii="Bahnschrift" w:hAnsi="Bahnschrift"/>
          <w:sz w:val="22"/>
          <w:szCs w:val="22"/>
        </w:rPr>
        <w:t>Roli i bashkisë në bashkëpunim me Agjencinë Kombëtare të Pyjeve dhe me shërbimet rajonale të mbrojtjes së mjedisit është thelbësor për të garantuar menaxhim të integruar, sidomos në territore me ndjeshmëri të lartë ndaj erozionit dhe zjarreve.</w:t>
      </w:r>
      <w:proofErr w:type="gramEnd"/>
      <w:r w:rsidRPr="00E720C2">
        <w:rPr>
          <w:rFonts w:ascii="Bahnschrift" w:hAnsi="Bahnschrift"/>
          <w:sz w:val="22"/>
          <w:szCs w:val="22"/>
        </w:rPr>
        <w:t xml:space="preserve"> </w:t>
      </w:r>
      <w:proofErr w:type="gramStart"/>
      <w:r w:rsidRPr="00E720C2">
        <w:rPr>
          <w:rFonts w:ascii="Bahnschrift" w:hAnsi="Bahnschrift"/>
          <w:sz w:val="22"/>
          <w:szCs w:val="22"/>
        </w:rPr>
        <w:t>Përmirësimi i kapaciteteve për monitorim, raportim dhe përfshirje të komuniteteve lokale në menaxhim mbetet një prioritet strategjik.</w:t>
      </w:r>
      <w:proofErr w:type="gramEnd"/>
    </w:p>
    <w:p w14:paraId="11796540" w14:textId="77777777" w:rsidR="00E720C2" w:rsidRDefault="00E720C2" w:rsidP="00E720C2">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94"/>
        <w:gridCol w:w="8182"/>
      </w:tblGrid>
      <w:tr w:rsidR="00E720C2" w:rsidRPr="00CA32FF" w14:paraId="5F4F49B3" w14:textId="77777777" w:rsidTr="004915AB">
        <w:tc>
          <w:tcPr>
            <w:tcW w:w="0" w:type="auto"/>
            <w:hideMark/>
          </w:tcPr>
          <w:p w14:paraId="792E0577"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Arritje (2024)</w:t>
            </w:r>
          </w:p>
        </w:tc>
        <w:tc>
          <w:tcPr>
            <w:tcW w:w="0" w:type="auto"/>
            <w:hideMark/>
          </w:tcPr>
          <w:p w14:paraId="75948F6D"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 Rritje e shkallës së mbulimit me plane mbarështimi nga 17.9% në 20.8%.- Ruajtje e planit vendor ekzistues dhe e strukturës së burimeve njerëzore (11 punonjës për 37,084 ha).- Bashkëpunim i vazhdueshëm me Agjencinë Kombëtare të Pyjeve për monitorim dhe kontroll.- Mbrojtje e qëndrueshme e fondit pyjor dhe e kullotave përmes patrullimeve të rregullta.</w:t>
            </w:r>
          </w:p>
        </w:tc>
      </w:tr>
      <w:tr w:rsidR="00E720C2" w:rsidRPr="00CA32FF" w14:paraId="566AFC14" w14:textId="77777777" w:rsidTr="004915AB">
        <w:tc>
          <w:tcPr>
            <w:tcW w:w="0" w:type="auto"/>
            <w:hideMark/>
          </w:tcPr>
          <w:p w14:paraId="7FCB30AA"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lastRenderedPageBreak/>
              <w:t>Sfidat</w:t>
            </w:r>
          </w:p>
        </w:tc>
        <w:tc>
          <w:tcPr>
            <w:tcW w:w="0" w:type="auto"/>
            <w:hideMark/>
          </w:tcPr>
          <w:p w14:paraId="3116E564"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 Burime njerëzore të pamjaftueshme për sipërfaqen e gjerë pyjore</w:t>
            </w:r>
            <w:proofErr w:type="gramStart"/>
            <w:r w:rsidRPr="00E720C2">
              <w:rPr>
                <w:rFonts w:ascii="Bahnschrift" w:eastAsiaTheme="minorEastAsia" w:hAnsi="Bahnschrift"/>
                <w:sz w:val="22"/>
              </w:rPr>
              <w:t>.-</w:t>
            </w:r>
            <w:proofErr w:type="gramEnd"/>
            <w:r w:rsidRPr="00E720C2">
              <w:rPr>
                <w:rFonts w:ascii="Bahnschrift" w:eastAsiaTheme="minorEastAsia" w:hAnsi="Bahnschrift"/>
                <w:sz w:val="22"/>
              </w:rPr>
              <w:t xml:space="preserve"> Zbatim i pjesshëm i planeve të mbarështimit dhe mungesë pajisjesh për kontroll në terren.- Rrezik nga prerjet e paligjshme dhe zjarret në zonat malore.- Ndërgjegjësim i kufizuar i komunitetit për rolin e tij në ruajtjen e fondit pyjor.- Mungesë e instrumenteve digjitale për monitorim dhe raportim periodik.</w:t>
            </w:r>
          </w:p>
        </w:tc>
      </w:tr>
      <w:tr w:rsidR="00E720C2" w:rsidRPr="00CA32FF" w14:paraId="2830996F" w14:textId="77777777" w:rsidTr="004915AB">
        <w:tc>
          <w:tcPr>
            <w:tcW w:w="0" w:type="auto"/>
            <w:hideMark/>
          </w:tcPr>
          <w:p w14:paraId="6155616E"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Objektivat për 2025</w:t>
            </w:r>
          </w:p>
        </w:tc>
        <w:tc>
          <w:tcPr>
            <w:tcW w:w="0" w:type="auto"/>
            <w:hideMark/>
          </w:tcPr>
          <w:p w14:paraId="2387B4D2" w14:textId="77777777" w:rsidR="00E720C2" w:rsidRPr="00E720C2" w:rsidRDefault="00E720C2" w:rsidP="004915AB">
            <w:pPr>
              <w:rPr>
                <w:rFonts w:ascii="Bahnschrift" w:eastAsiaTheme="minorEastAsia" w:hAnsi="Bahnschrift"/>
                <w:sz w:val="22"/>
              </w:rPr>
            </w:pPr>
            <w:r w:rsidRPr="00E720C2">
              <w:rPr>
                <w:rFonts w:ascii="Bahnschrift" w:eastAsiaTheme="minorEastAsia" w:hAnsi="Bahnschrift"/>
                <w:sz w:val="22"/>
              </w:rPr>
              <w:t>- Rritje e mbulimit me plane mbarështimi në 25% të sipërfaqes totale</w:t>
            </w:r>
            <w:proofErr w:type="gramStart"/>
            <w:r w:rsidRPr="00E720C2">
              <w:rPr>
                <w:rFonts w:ascii="Bahnschrift" w:eastAsiaTheme="minorEastAsia" w:hAnsi="Bahnschrift"/>
                <w:sz w:val="22"/>
              </w:rPr>
              <w:t>.-</w:t>
            </w:r>
            <w:proofErr w:type="gramEnd"/>
            <w:r w:rsidRPr="00E720C2">
              <w:rPr>
                <w:rFonts w:ascii="Bahnschrift" w:eastAsiaTheme="minorEastAsia" w:hAnsi="Bahnschrift"/>
                <w:sz w:val="22"/>
              </w:rPr>
              <w:t xml:space="preserve"> Konsolidim i strukturës njerëzore dhe trajnime për menaxhim digjital (GIS, regjistër elektronik).- Rishikim i planit vendor sipas standardeve të BE-së për biodiversitet dhe menaxhim të qëndrueshëm.- Forcim i bashkëpunimit me komunitetet lokale dhe bashkitë fqinje për mbrojtjen e pyjeve.- Sigurim i fondeve IPA dhe donatorëve për investime në monitorim dhe rikuperim të pyjeve.</w:t>
            </w:r>
          </w:p>
        </w:tc>
      </w:tr>
    </w:tbl>
    <w:p w14:paraId="079FA00D" w14:textId="094C4AEC" w:rsidR="00E720C2" w:rsidRPr="009007E3" w:rsidRDefault="003814C2" w:rsidP="00E720C2">
      <w:pPr>
        <w:pStyle w:val="Heading6"/>
      </w:pPr>
      <w:r>
        <w:rPr>
          <w:rFonts w:ascii="Bahnschrift" w:hAnsi="Bahnschrift"/>
          <w:noProof/>
          <w:sz w:val="22"/>
          <w:szCs w:val="22"/>
        </w:rPr>
        <w:pict w14:anchorId="778C6360">
          <v:shape id="_x0000_s1033" type="#_x0000_t75" alt="" style="position:absolute;margin-left:0;margin-top:34.45pt;width:532pt;height:163.35pt;z-index:251682816;mso-wrap-edited:f;mso-width-percent:0;mso-height-percent:0;mso-position-horizontal-relative:text;mso-position-vertical-relative:text;mso-width-percent:0;mso-height-percent:0">
            <v:imagedata r:id="rId30" o:title=""/>
            <w10:wrap type="square"/>
          </v:shape>
          <o:OLEObject Type="Embed" ProgID="Word.Document.12" ShapeID="_x0000_s1033" DrawAspect="Content" ObjectID="_1825019491" r:id="rId31">
            <o:FieldCodes>\s</o:FieldCodes>
          </o:OLEObject>
        </w:pict>
      </w:r>
      <w:r w:rsidR="00E720C2" w:rsidRPr="009007E3">
        <w:t>A) Treguesit përmbledhës</w:t>
      </w:r>
    </w:p>
    <w:p w14:paraId="719F470C" w14:textId="77777777" w:rsidR="00E720C2" w:rsidRPr="00E720C2" w:rsidRDefault="00E720C2" w:rsidP="00E720C2">
      <w:pPr>
        <w:pStyle w:val="Heading6"/>
      </w:pPr>
      <w:r w:rsidRPr="00E720C2">
        <w:t xml:space="preserve">B) Shtojcë: Të dhënat </w:t>
      </w:r>
    </w:p>
    <w:p w14:paraId="306B40A4" w14:textId="48D4EEC2" w:rsidR="00E720C2" w:rsidRDefault="00DB411D" w:rsidP="008E2EB9">
      <w:pPr>
        <w:rPr>
          <w:rFonts w:ascii="Bahnschrift" w:hAnsi="Bahnschrift"/>
          <w:sz w:val="22"/>
          <w:szCs w:val="22"/>
          <w:lang w:val="it-IT"/>
        </w:rPr>
      </w:pPr>
      <w:r>
        <w:rPr>
          <w:rFonts w:ascii="Bahnschrift" w:hAnsi="Bahnschrift"/>
          <w:noProof/>
          <w:sz w:val="22"/>
          <w:szCs w:val="22"/>
          <w:lang w:val="it-IT"/>
        </w:rPr>
        <w:object w:dxaOrig="10640" w:dyaOrig="1960" w14:anchorId="489FF991">
          <v:shape id="_x0000_i1026" type="#_x0000_t75" alt="" style="width:532pt;height:98pt;mso-width-percent:0;mso-height-percent:0;mso-width-percent:0;mso-height-percent:0" o:ole="">
            <v:imagedata r:id="rId32" o:title=""/>
          </v:shape>
          <o:OLEObject Type="Embed" ProgID="Word.Document.12" ShapeID="_x0000_i1026" DrawAspect="Content" ObjectID="_1825019481" r:id="rId33">
            <o:FieldCodes>\s</o:FieldCodes>
          </o:OLEObject>
        </w:object>
      </w:r>
    </w:p>
    <w:p w14:paraId="700F6D44" w14:textId="1ADFBF1E" w:rsidR="00E720C2" w:rsidRPr="00E720C2" w:rsidRDefault="00E720C2" w:rsidP="00E720C2">
      <w:bookmarkStart w:id="12" w:name="_Toc209362167"/>
      <w:r>
        <w:rPr>
          <w:noProof/>
        </w:rPr>
        <w:lastRenderedPageBreak/>
        <w:drawing>
          <wp:inline distT="0" distB="0" distL="0" distR="0" wp14:anchorId="14B3ADA7" wp14:editId="4C19ABA5">
            <wp:extent cx="5318760" cy="2152650"/>
            <wp:effectExtent l="0" t="0" r="15240" b="0"/>
            <wp:docPr id="135279384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33EE54-7757-A0CA-82EE-80C6B5245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020532" w14:textId="03AF1D9B" w:rsidR="006067CD" w:rsidRPr="00BD74CF" w:rsidRDefault="00904F51" w:rsidP="00A9345F">
      <w:pPr>
        <w:pStyle w:val="Heading2"/>
        <w:shd w:val="clear" w:color="auto" w:fill="C00000"/>
        <w:rPr>
          <w:rFonts w:ascii="Segoe UI Emoji" w:hAnsi="Segoe UI Emoji" w:cs="Segoe UI Emoji"/>
          <w:color w:val="D9E2F3" w:themeColor="accent1" w:themeTint="33"/>
          <w:sz w:val="56"/>
          <w:szCs w:val="56"/>
          <w:lang w:val="it-IT"/>
        </w:rPr>
      </w:pPr>
      <w:r w:rsidRPr="00A9345F">
        <w:rPr>
          <w:rFonts w:ascii="Segoe UI Emoji" w:hAnsi="Segoe UI Emoji" w:cs="Segoe UI Emoji"/>
          <w:b/>
          <w:color w:val="D9E2F3" w:themeColor="accent1" w:themeTint="33"/>
          <w:sz w:val="56"/>
          <w:szCs w:val="56"/>
        </w:rPr>
        <w:t>🤝</w:t>
      </w:r>
      <w:r w:rsidRPr="00BD74CF">
        <w:rPr>
          <w:rFonts w:ascii="Segoe UI Emoji" w:hAnsi="Segoe UI Emoji" w:cs="Segoe UI Emoji"/>
          <w:color w:val="D9E2F3" w:themeColor="accent1" w:themeTint="33"/>
          <w:sz w:val="56"/>
          <w:szCs w:val="56"/>
          <w:lang w:val="it-IT"/>
        </w:rPr>
        <w:t xml:space="preserve"> </w:t>
      </w:r>
      <w:r w:rsidR="005A1AE1" w:rsidRPr="00BD74CF">
        <w:rPr>
          <w:rFonts w:ascii="Segoe UI Emoji" w:hAnsi="Segoe UI Emoji" w:cs="Segoe UI Emoji"/>
          <w:color w:val="D9E2F3" w:themeColor="accent1" w:themeTint="33"/>
          <w:sz w:val="56"/>
          <w:szCs w:val="56"/>
          <w:lang w:val="it-IT"/>
        </w:rPr>
        <w:t>Mbrojtja</w:t>
      </w:r>
      <w:r w:rsidR="00625F61" w:rsidRPr="00BD74CF">
        <w:rPr>
          <w:rFonts w:ascii="Segoe UI Emoji" w:hAnsi="Segoe UI Emoji" w:cs="Segoe UI Emoji"/>
          <w:color w:val="D9E2F3" w:themeColor="accent1" w:themeTint="33"/>
          <w:sz w:val="56"/>
          <w:szCs w:val="56"/>
          <w:lang w:val="it-IT"/>
        </w:rPr>
        <w:t xml:space="preserve"> Social</w:t>
      </w:r>
      <w:r w:rsidR="005A1AE1" w:rsidRPr="00BD74CF">
        <w:rPr>
          <w:rFonts w:ascii="Segoe UI Emoji" w:hAnsi="Segoe UI Emoji" w:cs="Segoe UI Emoji"/>
          <w:color w:val="D9E2F3" w:themeColor="accent1" w:themeTint="33"/>
          <w:sz w:val="56"/>
          <w:szCs w:val="56"/>
          <w:lang w:val="it-IT"/>
        </w:rPr>
        <w:t>e</w:t>
      </w:r>
      <w:bookmarkEnd w:id="12"/>
    </w:p>
    <w:p w14:paraId="218E1766" w14:textId="77777777" w:rsidR="006067CD" w:rsidRPr="00BD74CF" w:rsidRDefault="006067CD" w:rsidP="006067CD">
      <w:pPr>
        <w:rPr>
          <w:lang w:val="it-IT"/>
        </w:rPr>
      </w:pPr>
    </w:p>
    <w:p w14:paraId="23E14E39" w14:textId="10651EA8" w:rsidR="00A45105" w:rsidRDefault="005648A1" w:rsidP="00A45105">
      <w:pPr>
        <w:rPr>
          <w:rFonts w:ascii="Bahnschrift" w:hAnsi="Bahnschrift"/>
          <w:sz w:val="22"/>
          <w:szCs w:val="22"/>
          <w:lang w:val="it-IT"/>
        </w:rPr>
      </w:pPr>
      <w:r w:rsidRPr="00BD74CF">
        <w:rPr>
          <w:rFonts w:ascii="Bahnschrift" w:hAnsi="Bahnschrift"/>
          <w:b/>
          <w:bCs/>
          <w:sz w:val="22"/>
          <w:szCs w:val="22"/>
          <w:lang w:val="it-IT"/>
        </w:rPr>
        <w:t>Përshkrim i përgjithshëm</w:t>
      </w:r>
      <w:r w:rsidRPr="00BD74CF">
        <w:rPr>
          <w:rFonts w:ascii="Bahnschrift" w:hAnsi="Bahnschrift"/>
          <w:sz w:val="22"/>
          <w:szCs w:val="22"/>
          <w:lang w:val="it-IT"/>
        </w:rPr>
        <w:t>: Bashkitë janë përgjegjëse për krijimin, administrimin dhe ofrimin e shërbimeve sociale vendore për individët dhe familjet në nevojë, duke përfshirë personat me aftësi të kufizuara, fëmijët pa përkujdesje prindërore, të moshuarit, viktimat e dhunës dhe trafikimit, si dhe grupet e tjera vulnerabël. Shërbimet përfshijnë ndihma financiare dhe në natyrë, mbështetje për strehim dhe përfshirje sociale, si dhe funksionimin e qendrave ditore apo rezidenciale. Qëllimi i tyre është të lehtësojnë jetesën dhe të nxisin integrimin e qytetarëve në komunitet. Ndër shërbimet kryesore përfshihen: pagesat për kujdestari dhe lindje, ndihma për energji dhe nevoja bazë, shërbime për familjet me fëmijë me aftësi të kufizuara, mbështetje në kushte emergjente, strehim të përkohshëm dhe përkujdesje në shtëpi, si dhe masa për riintegrimin e të papunëve në tregun e punës. Bashkitë gjithashtu bashkëpunojnë me Organizata jo Fitimprurëse (OJF) dhe sektorin privat për ofrimin e këtyre shërbimeve në territor.</w:t>
      </w:r>
    </w:p>
    <w:p w14:paraId="54954140" w14:textId="21CF3F91" w:rsidR="00904F51" w:rsidRPr="002C7FF9" w:rsidRDefault="002C7FF9" w:rsidP="00904F51">
      <w:pPr>
        <w:rPr>
          <w:b/>
          <w:bCs/>
          <w:sz w:val="22"/>
          <w:szCs w:val="22"/>
          <w:lang w:val="it-IT"/>
        </w:rPr>
      </w:pPr>
      <w:r w:rsidRPr="002C7FF9">
        <w:rPr>
          <w:b/>
          <w:bCs/>
          <w:sz w:val="22"/>
          <w:szCs w:val="22"/>
          <w:lang w:val="it-IT"/>
        </w:rPr>
        <w:t>ANALIZA E SHERBIMIT</w:t>
      </w:r>
    </w:p>
    <w:p w14:paraId="5F5C30C3" w14:textId="77777777" w:rsidR="002C7FF9" w:rsidRDefault="002C7FF9" w:rsidP="002C7FF9">
      <w:pPr>
        <w:rPr>
          <w:rFonts w:ascii="Bahnschrift" w:hAnsi="Bahnschrift"/>
          <w:sz w:val="22"/>
          <w:szCs w:val="22"/>
          <w:lang w:val="it-IT"/>
        </w:rPr>
      </w:pPr>
      <w:r w:rsidRPr="002C7FF9">
        <w:rPr>
          <w:rFonts w:ascii="Bahnschrift" w:hAnsi="Bahnschrift"/>
          <w:sz w:val="22"/>
          <w:szCs w:val="22"/>
          <w:lang w:val="it-IT"/>
        </w:rPr>
        <w:t>Në vitin 2024, Bashkia Librazhd ka ruajtur një nivel të qëndrueshëm të mbulimit me shërbime sociale, me 98.9% të familjeve që kanë përfituar ndihmë ekonomike nga aplikimet e paraqitura. Megjithëse numri i përfituesve ka rënë në vlera absolute (nga 2,322 në 1,883 familje), raporti i mbulimit mbetet shumë i lartë, duke reflektuar efikasitet administrativ në përpunimin e kërkesave.</w:t>
      </w:r>
    </w:p>
    <w:p w14:paraId="7C148385" w14:textId="77777777" w:rsidR="002C7FF9" w:rsidRDefault="002C7FF9" w:rsidP="002C7FF9">
      <w:pPr>
        <w:rPr>
          <w:rFonts w:ascii="Bahnschrift" w:hAnsi="Bahnschrift"/>
          <w:sz w:val="22"/>
          <w:szCs w:val="22"/>
          <w:lang w:val="it-IT"/>
        </w:rPr>
      </w:pPr>
      <w:r w:rsidRPr="002C7FF9">
        <w:rPr>
          <w:rFonts w:ascii="Bahnschrift" w:hAnsi="Bahnschrift"/>
          <w:sz w:val="22"/>
          <w:szCs w:val="22"/>
          <w:lang w:val="it-IT"/>
        </w:rPr>
        <w:br/>
        <w:t xml:space="preserve">Në fushën e strehimit social, është vërejtur ulje e shkallës së miratimit (nga 64.7% në 62%), që tregon kufizime në fondet dhe numrin e banesave sociale të disponueshme. Bashkia ka ruajtur tre qendra sociale ditore funksionale, që mbulojnë shërbime komunitare për grupe vulnerabël, </w:t>
      </w:r>
      <w:r w:rsidRPr="002C7FF9">
        <w:rPr>
          <w:rFonts w:ascii="Bahnschrift" w:hAnsi="Bahnschrift"/>
          <w:sz w:val="22"/>
          <w:szCs w:val="22"/>
          <w:lang w:val="it-IT"/>
        </w:rPr>
        <w:lastRenderedPageBreak/>
        <w:t>ndërsa nuk ka qendra rezidenciale. Mekanizmi i Koordinuar i Referimit (MKR) ka funksionuar plotësisht, duke garantuar që 100% e rasteve të dhunës të referuara kanë përfituar shërbime mbështetëse.</w:t>
      </w:r>
      <w:r w:rsidRPr="002C7FF9">
        <w:rPr>
          <w:rFonts w:ascii="Bahnschrift" w:hAnsi="Bahnschrift"/>
          <w:sz w:val="22"/>
          <w:szCs w:val="22"/>
          <w:lang w:val="it-IT"/>
        </w:rPr>
        <w:br/>
      </w:r>
    </w:p>
    <w:p w14:paraId="21FA3A8C" w14:textId="6EC7A512" w:rsidR="002C7FF9" w:rsidRDefault="002C7FF9" w:rsidP="002C7FF9">
      <w:pPr>
        <w:rPr>
          <w:rFonts w:ascii="Bahnschrift" w:hAnsi="Bahnschrift"/>
          <w:sz w:val="22"/>
          <w:szCs w:val="22"/>
          <w:lang w:val="it-IT"/>
        </w:rPr>
      </w:pPr>
      <w:r w:rsidRPr="002C7FF9">
        <w:rPr>
          <w:rFonts w:ascii="Bahnschrift" w:hAnsi="Bahnschrift"/>
          <w:sz w:val="22"/>
          <w:szCs w:val="22"/>
          <w:lang w:val="it-IT"/>
        </w:rPr>
        <w:t>Një zhvillim pozitiv është rritja e përfshirjes së personave me aftësi të kufizuar (PAK) në mbështetje të integruar sociale (nga 14.4% në 15.9%). Plani vendor social është në fuqi dhe ofron një kornizë të qëndrueshme për ofrimin e shërbimeve bazë.</w:t>
      </w:r>
    </w:p>
    <w:p w14:paraId="61430126" w14:textId="77777777" w:rsidR="002C7FF9" w:rsidRPr="002C7FF9" w:rsidRDefault="002C7FF9" w:rsidP="002C7FF9">
      <w:pPr>
        <w:rPr>
          <w:rFonts w:ascii="Bahnschrift" w:hAnsi="Bahnschrift"/>
          <w:sz w:val="22"/>
          <w:szCs w:val="22"/>
          <w:lang w:val="it-IT"/>
        </w:rPr>
      </w:pPr>
    </w:p>
    <w:tbl>
      <w:tblPr>
        <w:tblStyle w:val="TableGrid"/>
        <w:tblW w:w="0" w:type="auto"/>
        <w:tblLook w:val="04A0" w:firstRow="1" w:lastRow="0" w:firstColumn="1" w:lastColumn="0" w:noHBand="0" w:noVBand="1"/>
      </w:tblPr>
      <w:tblGrid>
        <w:gridCol w:w="1391"/>
        <w:gridCol w:w="8185"/>
      </w:tblGrid>
      <w:tr w:rsidR="002C7FF9" w:rsidRPr="002C7FF9" w14:paraId="18D8C896" w14:textId="77777777" w:rsidTr="004915AB">
        <w:tc>
          <w:tcPr>
            <w:tcW w:w="0" w:type="auto"/>
            <w:hideMark/>
          </w:tcPr>
          <w:p w14:paraId="17A4BED7" w14:textId="77777777" w:rsidR="002C7FF9" w:rsidRPr="002C7FF9" w:rsidRDefault="002C7FF9" w:rsidP="004915AB">
            <w:pPr>
              <w:spacing w:after="160" w:line="259" w:lineRule="auto"/>
              <w:rPr>
                <w:rFonts w:ascii="Bahnschrift" w:eastAsiaTheme="minorEastAsia" w:hAnsi="Bahnschrift"/>
                <w:sz w:val="22"/>
                <w:lang w:val="it-IT"/>
              </w:rPr>
            </w:pPr>
            <w:r w:rsidRPr="002C7FF9">
              <w:rPr>
                <w:rFonts w:ascii="Bahnschrift" w:eastAsiaTheme="minorEastAsia" w:hAnsi="Bahnschrift"/>
                <w:sz w:val="22"/>
                <w:lang w:val="it-IT"/>
              </w:rPr>
              <w:t>Arritje (2024)</w:t>
            </w:r>
          </w:p>
        </w:tc>
        <w:tc>
          <w:tcPr>
            <w:tcW w:w="0" w:type="auto"/>
            <w:hideMark/>
          </w:tcPr>
          <w:p w14:paraId="2639F781" w14:textId="77777777" w:rsidR="002C7FF9" w:rsidRPr="002C7FF9" w:rsidRDefault="002C7FF9" w:rsidP="004915AB">
            <w:pPr>
              <w:spacing w:after="160" w:line="259" w:lineRule="auto"/>
              <w:rPr>
                <w:rFonts w:ascii="Bahnschrift" w:eastAsiaTheme="minorEastAsia" w:hAnsi="Bahnschrift"/>
                <w:sz w:val="22"/>
                <w:lang w:val="it-IT"/>
              </w:rPr>
            </w:pPr>
            <w:r w:rsidRPr="002C7FF9">
              <w:rPr>
                <w:rFonts w:ascii="Bahnschrift" w:eastAsiaTheme="minorEastAsia" w:hAnsi="Bahnschrift"/>
                <w:sz w:val="22"/>
                <w:lang w:val="it-IT"/>
              </w:rPr>
              <w:t>- Mbulim i plotë (98.9%) i familjeve përfituese nga ndihma ekonomike.- Funksionim i qëndrueshëm i Mekanizmit të Koordinuar të Referimit (MKR) me 100% përfitueshmëri të rasteve të referuara.- Rritje e përfshirjes së PAK që marrin mbështetje sociale. Funksionim i 3 qendrave sociale komunitare ditore.- Zbatim i vazhdueshëm i Planit Vendor Social.</w:t>
            </w:r>
          </w:p>
        </w:tc>
      </w:tr>
      <w:tr w:rsidR="002C7FF9" w:rsidRPr="002C7FF9" w14:paraId="2697F27F" w14:textId="77777777" w:rsidTr="004915AB">
        <w:tc>
          <w:tcPr>
            <w:tcW w:w="0" w:type="auto"/>
            <w:hideMark/>
          </w:tcPr>
          <w:p w14:paraId="4F93E939" w14:textId="77777777" w:rsidR="002C7FF9" w:rsidRPr="002C7FF9" w:rsidRDefault="002C7FF9" w:rsidP="004915AB">
            <w:pPr>
              <w:spacing w:after="160" w:line="259" w:lineRule="auto"/>
              <w:rPr>
                <w:rFonts w:ascii="Bahnschrift" w:eastAsiaTheme="minorEastAsia" w:hAnsi="Bahnschrift"/>
                <w:sz w:val="22"/>
                <w:lang w:val="it-IT"/>
              </w:rPr>
            </w:pPr>
            <w:r w:rsidRPr="002C7FF9">
              <w:rPr>
                <w:rFonts w:ascii="Bahnschrift" w:eastAsiaTheme="minorEastAsia" w:hAnsi="Bahnschrift"/>
                <w:sz w:val="22"/>
                <w:lang w:val="it-IT"/>
              </w:rPr>
              <w:t>Sfidat</w:t>
            </w:r>
          </w:p>
        </w:tc>
        <w:tc>
          <w:tcPr>
            <w:tcW w:w="0" w:type="auto"/>
            <w:hideMark/>
          </w:tcPr>
          <w:p w14:paraId="78671B87" w14:textId="77777777" w:rsidR="002C7FF9" w:rsidRPr="002C7FF9" w:rsidRDefault="002C7FF9" w:rsidP="004915AB">
            <w:pPr>
              <w:spacing w:after="160" w:line="259" w:lineRule="auto"/>
              <w:rPr>
                <w:rFonts w:ascii="Bahnschrift" w:eastAsiaTheme="minorEastAsia" w:hAnsi="Bahnschrift"/>
                <w:sz w:val="22"/>
                <w:lang w:val="it-IT"/>
              </w:rPr>
            </w:pPr>
            <w:r w:rsidRPr="002C7FF9">
              <w:rPr>
                <w:rFonts w:ascii="Bahnschrift" w:eastAsiaTheme="minorEastAsia" w:hAnsi="Bahnschrift"/>
                <w:sz w:val="22"/>
                <w:lang w:val="it-IT"/>
              </w:rPr>
              <w:t>- Rënie e numrit të familjeve përfituese për shkak të emigracionit dhe ndryshimeve socio-ekonomike.- Ulje e shkallës së miratimit për strehimin social (</w:t>
            </w:r>
            <w:r w:rsidRPr="002C7FF9">
              <w:rPr>
                <w:rFonts w:ascii="Cambria Math" w:eastAsiaTheme="minorEastAsia" w:hAnsi="Cambria Math" w:cs="Cambria Math"/>
                <w:sz w:val="22"/>
                <w:lang w:val="it-IT"/>
              </w:rPr>
              <w:t>−</w:t>
            </w:r>
            <w:r w:rsidRPr="002C7FF9">
              <w:rPr>
                <w:rFonts w:ascii="Bahnschrift" w:eastAsiaTheme="minorEastAsia" w:hAnsi="Bahnschrift"/>
                <w:sz w:val="22"/>
                <w:lang w:val="it-IT"/>
              </w:rPr>
              <w:t>2.7 p.p.).- Mungesë e qendrave rezidenciale për kujdes afatgjatë.- Burime të kufizuara financiare për programe të reja sociale dhe për integrimin e PAK.- Nevojë për përfshirje më të gjerë të OJF-ve dhe partnerëve lokalë në ofrimin e shërbimeve sociale.</w:t>
            </w:r>
          </w:p>
        </w:tc>
      </w:tr>
      <w:tr w:rsidR="002C7FF9" w:rsidRPr="002C7FF9" w14:paraId="0C212A57" w14:textId="77777777" w:rsidTr="004915AB">
        <w:tc>
          <w:tcPr>
            <w:tcW w:w="0" w:type="auto"/>
            <w:hideMark/>
          </w:tcPr>
          <w:p w14:paraId="2E3EADB5" w14:textId="77777777" w:rsidR="002C7FF9" w:rsidRPr="002C7FF9" w:rsidRDefault="002C7FF9" w:rsidP="004915AB">
            <w:pPr>
              <w:spacing w:after="160" w:line="259" w:lineRule="auto"/>
              <w:rPr>
                <w:rFonts w:ascii="Bahnschrift" w:eastAsiaTheme="minorEastAsia" w:hAnsi="Bahnschrift"/>
                <w:sz w:val="22"/>
                <w:lang w:val="it-IT"/>
              </w:rPr>
            </w:pPr>
            <w:r w:rsidRPr="002C7FF9">
              <w:rPr>
                <w:rFonts w:ascii="Bahnschrift" w:eastAsiaTheme="minorEastAsia" w:hAnsi="Bahnschrift"/>
                <w:sz w:val="22"/>
                <w:lang w:val="it-IT"/>
              </w:rPr>
              <w:t>Objektivat për 2025</w:t>
            </w:r>
          </w:p>
        </w:tc>
        <w:tc>
          <w:tcPr>
            <w:tcW w:w="0" w:type="auto"/>
            <w:hideMark/>
          </w:tcPr>
          <w:p w14:paraId="359ABBBE" w14:textId="77777777" w:rsidR="002C7FF9" w:rsidRPr="002C7FF9" w:rsidRDefault="002C7FF9" w:rsidP="004915AB">
            <w:pPr>
              <w:spacing w:after="160" w:line="259" w:lineRule="auto"/>
              <w:rPr>
                <w:rFonts w:ascii="Bahnschrift" w:eastAsiaTheme="minorEastAsia" w:hAnsi="Bahnschrift"/>
                <w:sz w:val="22"/>
                <w:lang w:val="it-IT"/>
              </w:rPr>
            </w:pPr>
            <w:r w:rsidRPr="002C7FF9">
              <w:rPr>
                <w:rFonts w:ascii="Bahnschrift" w:eastAsiaTheme="minorEastAsia" w:hAnsi="Bahnschrift"/>
                <w:sz w:val="22"/>
                <w:lang w:val="it-IT"/>
              </w:rPr>
              <w:t>- Mbajtja e nivelit të mbulimit të ndihmës ekonomike mbi 95% të aplikimeve të miratuara.- Rritja e numrit të përfituesve të strehimit social përmes projekteve të reja me fondet e qirasë sociale.- Zgjerimi i shërbimeve sociale për PAK dhe grupet vulnerabël në nivel komunitar.- Krijimi i një qendre ditore për kujdes të integruar për fëmijët dhe të moshuarit në nevojë.- Forcimi i bashkëpunimit ndërinstitucional dhe përmirësimi i databazave për rastet sociale.</w:t>
            </w:r>
          </w:p>
        </w:tc>
      </w:tr>
    </w:tbl>
    <w:p w14:paraId="6F61F590" w14:textId="77777777" w:rsidR="002C7FF9" w:rsidRPr="00C17C1B" w:rsidRDefault="002C7FF9" w:rsidP="002C7FF9"/>
    <w:p w14:paraId="1C168ABA" w14:textId="694942BE" w:rsidR="002C7FF9" w:rsidRDefault="002C7FF9" w:rsidP="002C7FF9">
      <w:pPr>
        <w:rPr>
          <w:rFonts w:ascii="Calibri" w:hAnsi="Calibri" w:cs="Calibri"/>
          <w:sz w:val="22"/>
        </w:rPr>
      </w:pPr>
    </w:p>
    <w:p w14:paraId="27D4CD53" w14:textId="2FE92DDE" w:rsidR="002C7FF9" w:rsidRDefault="003814C2" w:rsidP="002C7FF9">
      <w:pPr>
        <w:pStyle w:val="Heading6"/>
      </w:pPr>
      <w:r>
        <w:rPr>
          <w:noProof/>
          <w:lang w:val="it-IT"/>
        </w:rPr>
        <w:lastRenderedPageBreak/>
        <w:pict w14:anchorId="34615B05">
          <v:shape id="_x0000_s1032" type="#_x0000_t75" alt="" style="position:absolute;margin-left:-22.7pt;margin-top:17.3pt;width:539pt;height:316pt;z-index:251688960;mso-wrap-edited:f;mso-width-percent:0;mso-height-percent:0;mso-position-horizontal-relative:text;mso-position-vertical-relative:text;mso-width-percent:0;mso-height-percent:0">
            <v:imagedata r:id="rId35" o:title=""/>
            <w10:wrap type="square"/>
          </v:shape>
          <o:OLEObject Type="Embed" ProgID="Word.Document.12" ShapeID="_x0000_s1032" DrawAspect="Content" ObjectID="_1825019492" r:id="rId36">
            <o:FieldCodes>\s</o:FieldCodes>
          </o:OLEObject>
        </w:pict>
      </w:r>
      <w:r w:rsidR="002C7FF9" w:rsidRPr="000E64F9">
        <w:t>A) Treguesit përmbledhës</w:t>
      </w:r>
    </w:p>
    <w:p w14:paraId="677C7D2A" w14:textId="77777777" w:rsidR="002C7FF9" w:rsidRDefault="002C7FF9" w:rsidP="002C7FF9">
      <w:pPr>
        <w:pStyle w:val="Heading6"/>
      </w:pPr>
      <w:r w:rsidRPr="002C7FF9">
        <w:rPr>
          <w:noProof/>
        </w:rPr>
        <w:drawing>
          <wp:inline distT="0" distB="0" distL="0" distR="0" wp14:anchorId="1AC10BE7" wp14:editId="730F07BA">
            <wp:extent cx="5943600" cy="2503756"/>
            <wp:effectExtent l="0" t="0" r="12700" b="11430"/>
            <wp:docPr id="56061516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EEC23A" w14:textId="77777777" w:rsidR="002C7FF9" w:rsidRDefault="002C7FF9" w:rsidP="002C7FF9">
      <w:pPr>
        <w:pStyle w:val="Heading6"/>
      </w:pPr>
    </w:p>
    <w:p w14:paraId="387F8130" w14:textId="77777777" w:rsidR="002C7FF9" w:rsidRDefault="002C7FF9" w:rsidP="002C7FF9">
      <w:pPr>
        <w:pStyle w:val="Heading6"/>
      </w:pPr>
    </w:p>
    <w:p w14:paraId="250503E0" w14:textId="77777777" w:rsidR="002C7FF9" w:rsidRDefault="002C7FF9" w:rsidP="002C7FF9">
      <w:pPr>
        <w:pStyle w:val="Heading6"/>
      </w:pPr>
    </w:p>
    <w:p w14:paraId="5795C16D" w14:textId="0E8BD207" w:rsidR="002C7FF9" w:rsidRPr="002C7FF9" w:rsidRDefault="002C7FF9" w:rsidP="002C7FF9">
      <w:pPr>
        <w:pStyle w:val="Heading6"/>
      </w:pPr>
      <w:r w:rsidRPr="002C7FF9">
        <w:lastRenderedPageBreak/>
        <w:t>B) Shtojcë: Të dhënat burim (Tbl_TeDhenat)</w:t>
      </w:r>
    </w:p>
    <w:p w14:paraId="26C6532D" w14:textId="33A7C3BA" w:rsidR="002C7FF9" w:rsidRPr="00BD74CF" w:rsidRDefault="00DB411D" w:rsidP="00904F51">
      <w:pPr>
        <w:rPr>
          <w:lang w:val="it-IT"/>
        </w:rPr>
      </w:pPr>
      <w:r>
        <w:rPr>
          <w:noProof/>
          <w:lang w:val="it-IT"/>
        </w:rPr>
        <w:object w:dxaOrig="10540" w:dyaOrig="6260" w14:anchorId="6ACB3284">
          <v:shape id="_x0000_i1027" type="#_x0000_t75" alt="" style="width:528pt;height:313.5pt;mso-width-percent:0;mso-height-percent:0;mso-width-percent:0;mso-height-percent:0" o:ole="">
            <v:imagedata r:id="rId38" o:title=""/>
          </v:shape>
          <o:OLEObject Type="Embed" ProgID="Word.Document.12" ShapeID="_x0000_i1027" DrawAspect="Content" ObjectID="_1825019482" r:id="rId39">
            <o:FieldCodes>\s</o:FieldCodes>
          </o:OLEObject>
        </w:object>
      </w:r>
    </w:p>
    <w:p w14:paraId="1EC45DD8" w14:textId="27B461B1" w:rsidR="00904F51" w:rsidRPr="00BD74CF" w:rsidRDefault="005C75A0" w:rsidP="005C75A0">
      <w:pPr>
        <w:pStyle w:val="Heading2"/>
        <w:shd w:val="clear" w:color="auto" w:fill="595959" w:themeFill="text1" w:themeFillTint="A6"/>
        <w:rPr>
          <w:rFonts w:ascii="Segoe UI Emoji" w:eastAsia="Times New Roman" w:hAnsi="Segoe UI Emoji" w:cs="Segoe UI Emoji"/>
          <w:color w:val="FFFFFF"/>
          <w:sz w:val="72"/>
          <w:szCs w:val="72"/>
          <w:lang w:val="it-IT"/>
        </w:rPr>
      </w:pPr>
      <w:bookmarkStart w:id="13" w:name="_Toc209362168"/>
      <w:r w:rsidRPr="00BD74CF">
        <w:rPr>
          <w:rFonts w:ascii="Segoe UI Emoji" w:eastAsia="Times New Roman" w:hAnsi="Segoe UI Emoji" w:cs="Segoe UI Emoji"/>
          <w:color w:val="FFFFFF"/>
          <w:sz w:val="72"/>
          <w:szCs w:val="72"/>
          <w:lang w:val="it-IT"/>
        </w:rPr>
        <w:t>QEVERISJA E MIRE</w:t>
      </w:r>
      <w:bookmarkEnd w:id="13"/>
    </w:p>
    <w:p w14:paraId="266A896D" w14:textId="77777777" w:rsidR="006D0AEF" w:rsidRPr="00384F87" w:rsidRDefault="006D0AEF" w:rsidP="006D0AEF">
      <w:pPr>
        <w:spacing w:beforeAutospacing="1" w:after="100" w:afterAutospacing="1" w:line="240" w:lineRule="auto"/>
        <w:rPr>
          <w:rFonts w:ascii="Bahnschrift" w:hAnsi="Bahnschrift"/>
          <w:sz w:val="22"/>
          <w:szCs w:val="22"/>
          <w:lang w:val="sq-AL"/>
        </w:rPr>
      </w:pPr>
      <w:bookmarkStart w:id="14" w:name="_Hlk211872311"/>
      <w:r w:rsidRPr="00384F87">
        <w:rPr>
          <w:rFonts w:ascii="Bahnschrift" w:hAnsi="Bahnschrift"/>
          <w:sz w:val="22"/>
          <w:szCs w:val="22"/>
          <w:lang w:val="sq-AL"/>
        </w:rPr>
        <w:t>Qeverisja e mirë përfaqëson aftësinë institucionale të bashkisë për të ushtruar përgjegjësitë publike me integritet, transparencë dhe efikasitet, duke garantuar përfshirjen qytetare dhe barazinë e mundësive. Në kuadër të matjes së performancës vendore, qeverisja e mirë vlerësohet përmes katër fushave përfaqësuese, të cilat reflektojnë cilësinë e proceseve të brendshme dhe kapacitetin administrativ për të siguruar rezultate të qëndrueshme:</w:t>
      </w:r>
    </w:p>
    <w:p w14:paraId="6026F14A" w14:textId="77777777" w:rsidR="006D0AEF" w:rsidRPr="00384F87" w:rsidRDefault="006D0AEF" w:rsidP="006D0AEF">
      <w:pPr>
        <w:numPr>
          <w:ilvl w:val="0"/>
          <w:numId w:val="19"/>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Burimet Njerëzore – masin strukturën, stabilitetin dhe profesionalizmin e administratës vendore, si dhe nivelin e zhvillimit të kapaciteteve për ofrimin e shërbimeve cilësore.</w:t>
      </w:r>
    </w:p>
    <w:p w14:paraId="510383CA" w14:textId="77777777" w:rsidR="006D0AEF" w:rsidRPr="00384F87" w:rsidRDefault="006D0AEF" w:rsidP="006D0AEF">
      <w:pPr>
        <w:numPr>
          <w:ilvl w:val="0"/>
          <w:numId w:val="19"/>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Transparenca – tregon nivelin e hapjes së informacionit dhe komunikimit me qytetarët, publikimin e akteve dhe respektimin e standardeve të qeverisjes së hapur.</w:t>
      </w:r>
    </w:p>
    <w:p w14:paraId="0EE3C968" w14:textId="77777777" w:rsidR="006D0AEF" w:rsidRPr="00384F87" w:rsidRDefault="006D0AEF" w:rsidP="006D0AEF">
      <w:pPr>
        <w:numPr>
          <w:ilvl w:val="0"/>
          <w:numId w:val="19"/>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Barazia Gjinore – reflekton përpjekjet institucionale për të siguruar përfaqësim të barabartë dhe përfshirje gjinore në të gjitha nivelet e qeverisjes dhe politikëbërjes lokale.</w:t>
      </w:r>
    </w:p>
    <w:p w14:paraId="53B25945" w14:textId="77777777" w:rsidR="006D0AEF" w:rsidRPr="00384F87" w:rsidRDefault="006D0AEF" w:rsidP="006D0AEF">
      <w:pPr>
        <w:numPr>
          <w:ilvl w:val="0"/>
          <w:numId w:val="19"/>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lastRenderedPageBreak/>
        <w:t>🇪🇺</w:t>
      </w:r>
      <w:r w:rsidRPr="00384F87">
        <w:rPr>
          <w:rFonts w:ascii="Bahnschrift" w:hAnsi="Bahnschrift"/>
          <w:sz w:val="22"/>
          <w:szCs w:val="22"/>
          <w:lang w:val="sq-AL"/>
        </w:rPr>
        <w:t xml:space="preserve"> Integrimi në BE – mat aftësinë e bashkisë për të përafruar praktikat e saj me standardet evropiane, përmes projekteve bashkëpunuese, partneriteteve ndërbashkiake dhe strukturave të dedikuara të integrimit..</w:t>
      </w:r>
    </w:p>
    <w:bookmarkEnd w:id="14"/>
    <w:p w14:paraId="655BFACB" w14:textId="77777777" w:rsidR="005C75A0" w:rsidRPr="00832D9D" w:rsidRDefault="005C75A0" w:rsidP="005C75A0">
      <w:pPr>
        <w:rPr>
          <w:rFonts w:ascii="Bahnschrift" w:hAnsi="Bahnschrift" w:cs="Segoe UI Emoji"/>
          <w:b/>
          <w:color w:val="FF6600"/>
          <w:sz w:val="22"/>
          <w:szCs w:val="22"/>
          <w:lang w:val="it-IT"/>
        </w:rPr>
      </w:pPr>
    </w:p>
    <w:p w14:paraId="7332163A" w14:textId="67ACA5A8" w:rsidR="005C75A0" w:rsidRPr="00BD74CF" w:rsidRDefault="005C75A0" w:rsidP="005C75A0">
      <w:pPr>
        <w:pStyle w:val="Heading2"/>
        <w:shd w:val="clear" w:color="auto" w:fill="595959" w:themeFill="text1" w:themeFillTint="A6"/>
        <w:rPr>
          <w:rFonts w:ascii="Segoe UI Emoji" w:eastAsia="Times New Roman" w:hAnsi="Segoe UI Emoji" w:cs="Segoe UI Emoji"/>
          <w:color w:val="FFFFFF"/>
          <w:sz w:val="56"/>
          <w:szCs w:val="56"/>
          <w:lang w:val="it-IT"/>
        </w:rPr>
      </w:pPr>
      <w:bookmarkStart w:id="15" w:name="_Toc209362169"/>
      <w:r w:rsidRPr="005648A1">
        <w:rPr>
          <w:rFonts w:ascii="Segoe UI Emoji" w:eastAsia="Times New Roman" w:hAnsi="Segoe UI Emoji" w:cs="Segoe UI Emoji"/>
          <w:b/>
          <w:color w:val="FFFFFF"/>
          <w:sz w:val="56"/>
          <w:szCs w:val="56"/>
        </w:rPr>
        <w:t>👥</w:t>
      </w:r>
      <w:r w:rsidRPr="00BD74CF">
        <w:rPr>
          <w:rFonts w:ascii="Segoe UI Emoji" w:eastAsia="Times New Roman" w:hAnsi="Segoe UI Emoji" w:cs="Segoe UI Emoji"/>
          <w:b/>
          <w:color w:val="FFFFFF"/>
          <w:sz w:val="56"/>
          <w:szCs w:val="56"/>
          <w:lang w:val="it-IT"/>
        </w:rPr>
        <w:t xml:space="preserve"> Burimet Njerëzore</w:t>
      </w:r>
      <w:bookmarkEnd w:id="15"/>
    </w:p>
    <w:p w14:paraId="2B862C0A" w14:textId="42522D6C" w:rsidR="00821946" w:rsidRDefault="005648A1" w:rsidP="004D2CAF">
      <w:pPr>
        <w:spacing w:before="360" w:after="360"/>
        <w:jc w:val="both"/>
        <w:rPr>
          <w:rFonts w:ascii="Bahnschrift" w:hAnsi="Bahnschrift"/>
          <w:sz w:val="22"/>
          <w:szCs w:val="22"/>
          <w:lang w:val="it-IT"/>
        </w:rPr>
      </w:pPr>
      <w:r w:rsidRPr="002B6DFE">
        <w:rPr>
          <w:rFonts w:ascii="Bahnschrift" w:hAnsi="Bahnschrift"/>
          <w:b/>
          <w:bCs/>
          <w:sz w:val="22"/>
          <w:szCs w:val="22"/>
          <w:lang w:val="it-IT"/>
        </w:rPr>
        <w:t>Përshkrim i përgjithshëm:</w:t>
      </w:r>
      <w:r w:rsidRPr="002B6DFE">
        <w:rPr>
          <w:rFonts w:ascii="Bahnschrift" w:hAnsi="Bahnschrift"/>
          <w:sz w:val="22"/>
          <w:szCs w:val="22"/>
          <w:lang w:val="it-IT"/>
        </w:rPr>
        <w:t xml:space="preserve"> Bashkitë kanë rol të rëndësishëm në menaxhimin e burimeve njerëzore për administratën vendore dhe strukturat e varësisë. Ky funksion përfshin planifikimin, organizimin dhe zhvillimin e kapaciteteve të stafit, si dhe ndjekjen e dinamikave të personelit – duke përfshirë rekrutimin, rotacionin, trajnimin dhe raportimin vjetor të të dhënave mbi stafin aktiv dhe të larguar. Qëllimi është të sigurohet një trupë administrative efektive, e kualifikuar dhe në përputhje me nevojat e ofrimit të shërbimeve publike vendore. Përmes këtij funksioni, bashkia ndjek tregues si numri i punonjësve për 1,000 banorë, përqindja e stafit të trajnuar, si dhe lëvizjet vjetore të stafit sipas gjinisë dhe njësisë strukturore (administratë ose njësi shpenzuese).</w:t>
      </w:r>
      <w:bookmarkStart w:id="16" w:name="_Toc209362170"/>
    </w:p>
    <w:p w14:paraId="72B200FA" w14:textId="77777777" w:rsidR="00841994" w:rsidRDefault="00841994" w:rsidP="00841994">
      <w:pPr>
        <w:pStyle w:val="NormalWeb"/>
        <w:rPr>
          <w:rFonts w:ascii="Bahnschrift" w:hAnsi="Bahnschrift"/>
          <w:b/>
          <w:bCs/>
          <w:sz w:val="22"/>
          <w:szCs w:val="22"/>
          <w:lang w:val="it-IT"/>
        </w:rPr>
      </w:pPr>
      <w:r w:rsidRPr="002C7FF9">
        <w:rPr>
          <w:rFonts w:ascii="Bahnschrift" w:hAnsi="Bahnschrift"/>
          <w:b/>
          <w:bCs/>
          <w:sz w:val="22"/>
          <w:szCs w:val="22"/>
          <w:lang w:val="it-IT"/>
        </w:rPr>
        <w:t>ANALIZA E SHERBIMIT</w:t>
      </w:r>
    </w:p>
    <w:p w14:paraId="70DD7A8F" w14:textId="77777777" w:rsidR="00841994" w:rsidRPr="00841994" w:rsidRDefault="00841994" w:rsidP="00841994">
      <w:pPr>
        <w:spacing w:after="0" w:line="240" w:lineRule="auto"/>
        <w:rPr>
          <w:rFonts w:ascii="Bahnschrift" w:hAnsi="Bahnschrift"/>
          <w:sz w:val="22"/>
          <w:szCs w:val="22"/>
          <w:lang w:val="it-IT"/>
        </w:rPr>
      </w:pPr>
      <w:r w:rsidRPr="00841994">
        <w:rPr>
          <w:rFonts w:ascii="Bahnschrift" w:hAnsi="Bahnschrift"/>
          <w:sz w:val="22"/>
          <w:szCs w:val="22"/>
          <w:lang w:val="it-IT"/>
        </w:rPr>
        <w:t>Në vitin 2024, Bashkia Librazhd ka shënuar rritje të lehtë të kapaciteteve njerëzore, duke arritur në 440 punonjës (krahasuar me 412 në vitin 2023), që përfaqëson një raport prej 10.7 punonjës për 1,000 banorë. Kjo tregon rritje të qëndrueshme të stafit në raport me popullsinë, duke reflektuar përpjekje për të mbuluar më mirë funksionet dhe shërbimet bashkiake.</w:t>
      </w:r>
      <w:r w:rsidRPr="00841994">
        <w:rPr>
          <w:rFonts w:ascii="Bahnschrift" w:hAnsi="Bahnschrift"/>
          <w:sz w:val="22"/>
          <w:szCs w:val="22"/>
          <w:lang w:val="it-IT"/>
        </w:rPr>
        <w:br/>
        <w:t>Shkalla e rotacionit të punonjësve ka mbetur në nivele të moderuara (8.9%), duke treguar stabilitet institucional, ndërsa përqindja e stafit të trajnuar është rritur ndjeshëm nga 18.2% në 21.4%, çka pasqyron një angazhim të shtuar për zhvillimin profesional të stafit.</w:t>
      </w:r>
      <w:r w:rsidRPr="00841994">
        <w:rPr>
          <w:rFonts w:ascii="Bahnschrift" w:hAnsi="Bahnschrift"/>
          <w:sz w:val="22"/>
          <w:szCs w:val="22"/>
          <w:lang w:val="it-IT"/>
        </w:rPr>
        <w:br/>
        <w:t>Megjithatë, sfidë mbetet përshtatja e strukturës me nevojat e reja të shërbimeve, përmirësimi i kompetencave digjitale dhe konsolidimi i sistemit të performancës në administratë, veçanërisht në drejtim të eficiencës dhe vlerësimit objektiv të punës.</w:t>
      </w:r>
    </w:p>
    <w:p w14:paraId="7BB3AA6B" w14:textId="77777777" w:rsidR="00841994" w:rsidRPr="00841994" w:rsidRDefault="00841994" w:rsidP="00841994">
      <w:pPr>
        <w:spacing w:after="0" w:line="240" w:lineRule="auto"/>
        <w:rPr>
          <w:rFonts w:ascii="Bahnschrift" w:hAnsi="Bahnschrift"/>
          <w:sz w:val="22"/>
          <w:szCs w:val="22"/>
          <w:lang w:val="it-IT"/>
        </w:rPr>
      </w:pPr>
    </w:p>
    <w:tbl>
      <w:tblPr>
        <w:tblStyle w:val="TableGrid"/>
        <w:tblW w:w="0" w:type="auto"/>
        <w:tblLook w:val="04A0" w:firstRow="1" w:lastRow="0" w:firstColumn="1" w:lastColumn="0" w:noHBand="0" w:noVBand="1"/>
      </w:tblPr>
      <w:tblGrid>
        <w:gridCol w:w="1443"/>
        <w:gridCol w:w="8133"/>
      </w:tblGrid>
      <w:tr w:rsidR="00841994" w:rsidRPr="00841994" w14:paraId="14C9E353" w14:textId="77777777" w:rsidTr="004915AB">
        <w:tc>
          <w:tcPr>
            <w:tcW w:w="0" w:type="auto"/>
            <w:hideMark/>
          </w:tcPr>
          <w:p w14:paraId="369DCF6C"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Arritje (2024)</w:t>
            </w:r>
          </w:p>
        </w:tc>
        <w:tc>
          <w:tcPr>
            <w:tcW w:w="0" w:type="auto"/>
            <w:hideMark/>
          </w:tcPr>
          <w:p w14:paraId="5F2B2226"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 xml:space="preserve">- Rritje e numrit total të punonjësve nga 412 </w:t>
            </w:r>
            <w:r w:rsidRPr="00841994">
              <w:rPr>
                <w:rFonts w:ascii="Arial" w:eastAsiaTheme="minorEastAsia" w:hAnsi="Arial" w:cs="Arial"/>
                <w:sz w:val="22"/>
                <w:lang w:val="it-IT"/>
              </w:rPr>
              <w:t>→</w:t>
            </w:r>
            <w:r w:rsidRPr="00841994">
              <w:rPr>
                <w:rFonts w:ascii="Bahnschrift" w:eastAsiaTheme="minorEastAsia" w:hAnsi="Bahnschrift"/>
                <w:sz w:val="22"/>
                <w:lang w:val="it-IT"/>
              </w:rPr>
              <w:t xml:space="preserve"> 440 (+7%).- Shkallë rotacioni stabël (8.9%) që tregon ruajtje të stabilitetit administrativ.- Rritje e përqindjes së stafit të trajnuar nga 18.2% </w:t>
            </w:r>
            <w:r w:rsidRPr="00841994">
              <w:rPr>
                <w:rFonts w:ascii="Arial" w:eastAsiaTheme="minorEastAsia" w:hAnsi="Arial" w:cs="Arial"/>
                <w:sz w:val="22"/>
                <w:lang w:val="it-IT"/>
              </w:rPr>
              <w:t>→</w:t>
            </w:r>
            <w:r w:rsidRPr="00841994">
              <w:rPr>
                <w:rFonts w:ascii="Bahnschrift" w:eastAsiaTheme="minorEastAsia" w:hAnsi="Bahnschrift"/>
                <w:sz w:val="22"/>
                <w:lang w:val="it-IT"/>
              </w:rPr>
              <w:t xml:space="preserve"> 21.4</w:t>
            </w:r>
          </w:p>
        </w:tc>
      </w:tr>
      <w:tr w:rsidR="00841994" w:rsidRPr="00841994" w14:paraId="1648E98A" w14:textId="77777777" w:rsidTr="004915AB">
        <w:tc>
          <w:tcPr>
            <w:tcW w:w="0" w:type="auto"/>
            <w:hideMark/>
          </w:tcPr>
          <w:p w14:paraId="2022A0A0"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Sfidat</w:t>
            </w:r>
          </w:p>
        </w:tc>
        <w:tc>
          <w:tcPr>
            <w:tcW w:w="0" w:type="auto"/>
            <w:hideMark/>
          </w:tcPr>
          <w:p w14:paraId="6B78D9D0"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 Përshtatja e strukturës organizative me nevojat e reja të shërbimeve dhe decentralizimit.- Kapacitete të kufizuara në fushat digjitale, të analizës së të dhënave dhe menaxhimit financiar.- Nevojë për planifikim afatgjatë të zhvillimit të burimeve njerëzore.</w:t>
            </w:r>
          </w:p>
        </w:tc>
      </w:tr>
      <w:tr w:rsidR="00841994" w:rsidRPr="00841994" w14:paraId="0F9CAA77" w14:textId="77777777" w:rsidTr="004915AB">
        <w:tc>
          <w:tcPr>
            <w:tcW w:w="0" w:type="auto"/>
            <w:hideMark/>
          </w:tcPr>
          <w:p w14:paraId="0634190B"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lastRenderedPageBreak/>
              <w:t>Objektivat për 2025</w:t>
            </w:r>
          </w:p>
        </w:tc>
        <w:tc>
          <w:tcPr>
            <w:tcW w:w="0" w:type="auto"/>
            <w:hideMark/>
          </w:tcPr>
          <w:p w14:paraId="17B18088"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 Hartimi i Planit të Zhvillimit të Burimeve Njerëzore 2025–2027..- Forcimi i politikave të motivimit dhe karrierës për të ulur rotacionin e stafit.</w:t>
            </w:r>
          </w:p>
        </w:tc>
      </w:tr>
    </w:tbl>
    <w:p w14:paraId="65A55CAD" w14:textId="2FC68E4A" w:rsidR="00841994" w:rsidRDefault="00841994" w:rsidP="004D2CAF">
      <w:pPr>
        <w:spacing w:before="360" w:after="360"/>
        <w:jc w:val="both"/>
        <w:rPr>
          <w:rFonts w:ascii="Bahnschrift" w:hAnsi="Bahnschrift"/>
          <w:sz w:val="22"/>
          <w:szCs w:val="22"/>
          <w:lang w:val="it-IT"/>
        </w:rPr>
      </w:pPr>
      <w:r>
        <w:rPr>
          <w:noProof/>
        </w:rPr>
        <w:drawing>
          <wp:inline distT="0" distB="0" distL="0" distR="0" wp14:anchorId="5567E01E" wp14:editId="1338793D">
            <wp:extent cx="5943600" cy="1596426"/>
            <wp:effectExtent l="0" t="0" r="12700" b="16510"/>
            <wp:docPr id="131753946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96E9C4" w14:textId="78DF100F" w:rsidR="007E2167" w:rsidRDefault="003814C2" w:rsidP="007E2167">
      <w:pPr>
        <w:pStyle w:val="Heading6"/>
      </w:pPr>
      <w:r>
        <w:rPr>
          <w:rFonts w:ascii="Bahnschrift" w:hAnsi="Bahnschrift"/>
          <w:noProof/>
          <w:sz w:val="22"/>
          <w:szCs w:val="22"/>
          <w:lang w:val="it-IT"/>
        </w:rPr>
        <w:pict w14:anchorId="12C7854E">
          <v:shape id="_x0000_s1031" type="#_x0000_t75" alt="" style="position:absolute;margin-left:0;margin-top:15.45pt;width:468pt;height:245pt;z-index:251695104;mso-wrap-edited:f;mso-width-percent:0;mso-height-percent:0;mso-position-horizontal-relative:text;mso-position-vertical-relative:text;mso-width-percent:0;mso-height-percent:0">
            <v:imagedata r:id="rId41" o:title=""/>
            <w10:wrap type="square"/>
          </v:shape>
          <o:OLEObject Type="Embed" ProgID="Word.Document.12" ShapeID="_x0000_s1031" DrawAspect="Content" ObjectID="_1825019493" r:id="rId42">
            <o:FieldCodes>\s</o:FieldCodes>
          </o:OLEObject>
        </w:pict>
      </w:r>
      <w:r w:rsidR="007E2167" w:rsidRPr="00852001">
        <w:t>A) Treguesit përmbledhës</w:t>
      </w:r>
    </w:p>
    <w:p w14:paraId="0020F974" w14:textId="395B429E" w:rsidR="007E2167" w:rsidRPr="00852001" w:rsidRDefault="007E2167" w:rsidP="007E2167">
      <w:pPr>
        <w:pStyle w:val="Heading6"/>
      </w:pPr>
      <w:r>
        <w:t>B</w:t>
      </w:r>
      <w:r w:rsidRPr="00852001">
        <w:t>) Shtojcë: Të dhënat burim (Tbl_TeDhenat)</w:t>
      </w:r>
    </w:p>
    <w:p w14:paraId="6F4D805A" w14:textId="7F751357" w:rsidR="007E2167" w:rsidRDefault="003814C2" w:rsidP="004D2CAF">
      <w:pPr>
        <w:spacing w:before="360" w:after="360"/>
        <w:jc w:val="both"/>
        <w:rPr>
          <w:rFonts w:ascii="Bahnschrift" w:hAnsi="Bahnschrift"/>
          <w:sz w:val="22"/>
          <w:szCs w:val="22"/>
          <w:lang w:val="it-IT"/>
        </w:rPr>
      </w:pPr>
      <w:r>
        <w:rPr>
          <w:rFonts w:ascii="Bahnschrift" w:hAnsi="Bahnschrift"/>
          <w:noProof/>
          <w:sz w:val="22"/>
          <w:szCs w:val="22"/>
          <w:lang w:val="it-IT"/>
        </w:rPr>
        <w:lastRenderedPageBreak/>
        <w:pict w14:anchorId="4B0CF48E">
          <v:shape id="_x0000_s1030" type="#_x0000_t75" alt="" style="position:absolute;left:0;text-align:left;margin-left:0;margin-top:0;width:505.35pt;height:153.35pt;z-index:251697152;mso-wrap-edited:f;mso-width-percent:0;mso-height-percent:0;mso-position-horizontal-relative:text;mso-position-vertical-relative:text;mso-width-percent:0;mso-height-percent:0">
            <v:imagedata r:id="rId43" o:title=""/>
            <w10:wrap type="square"/>
          </v:shape>
          <o:OLEObject Type="Embed" ProgID="Word.Document.12" ShapeID="_x0000_s1030" DrawAspect="Content" ObjectID="_1825019494" r:id="rId44">
            <o:FieldCodes>\s</o:FieldCodes>
          </o:OLEObject>
        </w:pict>
      </w:r>
    </w:p>
    <w:p w14:paraId="7C5D9563" w14:textId="77777777" w:rsidR="005C75A0" w:rsidRDefault="005C75A0" w:rsidP="005C75A0">
      <w:pPr>
        <w:pStyle w:val="Heading2"/>
        <w:shd w:val="clear" w:color="auto" w:fill="595959" w:themeFill="text1" w:themeFillTint="A6"/>
        <w:rPr>
          <w:rFonts w:ascii="Segoe UI Emoji" w:eastAsia="Times New Roman" w:hAnsi="Segoe UI Emoji" w:cs="Segoe UI Emoji"/>
          <w:b/>
          <w:color w:val="FFFFFF"/>
          <w:sz w:val="56"/>
          <w:szCs w:val="56"/>
          <w:lang w:val="it-IT"/>
        </w:rPr>
      </w:pPr>
      <w:r w:rsidRPr="005648A1">
        <w:rPr>
          <w:rFonts w:ascii="Segoe UI Emoji" w:eastAsia="Times New Roman" w:hAnsi="Segoe UI Emoji" w:cs="Segoe UI Emoji"/>
          <w:b/>
          <w:color w:val="FFFFFF"/>
          <w:sz w:val="56"/>
          <w:szCs w:val="56"/>
        </w:rPr>
        <w:t>📖</w:t>
      </w:r>
      <w:r w:rsidRPr="00BD74CF">
        <w:rPr>
          <w:rFonts w:ascii="Segoe UI Emoji" w:eastAsia="Times New Roman" w:hAnsi="Segoe UI Emoji" w:cs="Segoe UI Emoji"/>
          <w:b/>
          <w:color w:val="FFFFFF"/>
          <w:sz w:val="56"/>
          <w:szCs w:val="56"/>
          <w:lang w:val="it-IT"/>
        </w:rPr>
        <w:t xml:space="preserve"> Transparenca</w:t>
      </w:r>
      <w:bookmarkEnd w:id="16"/>
    </w:p>
    <w:p w14:paraId="4C615C2A" w14:textId="77777777" w:rsidR="00C35BCC" w:rsidRPr="00C35BCC" w:rsidRDefault="00C35BCC" w:rsidP="00C35BCC">
      <w:pPr>
        <w:rPr>
          <w:rFonts w:ascii="Bahnschrift" w:hAnsi="Bahnschrift"/>
          <w:sz w:val="18"/>
          <w:szCs w:val="18"/>
          <w:lang w:val="it-IT"/>
        </w:rPr>
      </w:pPr>
    </w:p>
    <w:p w14:paraId="49D6C24F" w14:textId="2AE8F430" w:rsidR="00303EDF" w:rsidRDefault="00C35BCC" w:rsidP="004D2CAF">
      <w:pPr>
        <w:spacing w:beforeAutospacing="1" w:after="100" w:afterAutospacing="1" w:line="240" w:lineRule="auto"/>
        <w:rPr>
          <w:rFonts w:ascii="Bahnschrift" w:eastAsia="Times New Roman" w:hAnsi="Bahnschrift" w:cs="Times New Roman"/>
          <w:sz w:val="22"/>
          <w:szCs w:val="22"/>
          <w:lang w:val="it-IT"/>
        </w:rPr>
      </w:pPr>
      <w:r>
        <w:rPr>
          <w:rFonts w:ascii="Bahnschrift" w:eastAsia="Times New Roman" w:hAnsi="Bahnschrift" w:cs="Times New Roman"/>
          <w:sz w:val="22"/>
          <w:szCs w:val="22"/>
          <w:lang w:val="it-IT"/>
        </w:rPr>
        <w:t>Të dhëna të Përgjithshme:</w:t>
      </w:r>
      <w:r w:rsidRPr="00C35BCC">
        <w:rPr>
          <w:rFonts w:ascii="Bahnschrift" w:eastAsia="Times New Roman" w:hAnsi="Bahnschrift" w:cs="Times New Roman"/>
          <w:sz w:val="22"/>
          <w:szCs w:val="22"/>
          <w:lang w:val="it-IT"/>
        </w:rPr>
        <w:t>Transparenca në pushtetin vendor është parimi që siguron që qytetarët të kenë qasje të lirë dhe të kuptueshme në informacionin publik, dokumentet zyrtare, si dhe proceset vendimmarrëse të njësisë vendore. Ajo nënkupton publikimin e vendimeve, buxhetit, planeve dhe raporteve të ndryshme, duke mundësuar që qytetarët të jenë të informuar, të përfshihen në konsultime publike dhe të kërkojnë llogari nga institucionet lokale për veprimet apo mosveprimet e tyre. Transparenca forcon besimin mes qytetarëve dhe qeverisjes vendore, dhe ndihmon në parandalimin e abuzimeve apo korrupsionit.</w:t>
      </w:r>
    </w:p>
    <w:p w14:paraId="4BF3A755" w14:textId="77777777" w:rsidR="00841994" w:rsidRDefault="00841994" w:rsidP="00841994">
      <w:pPr>
        <w:pStyle w:val="NormalWeb"/>
        <w:rPr>
          <w:rFonts w:ascii="Bahnschrift" w:hAnsi="Bahnschrift"/>
          <w:b/>
          <w:bCs/>
          <w:sz w:val="22"/>
          <w:szCs w:val="22"/>
          <w:lang w:val="it-IT"/>
        </w:rPr>
      </w:pPr>
      <w:r w:rsidRPr="002C7FF9">
        <w:rPr>
          <w:rFonts w:ascii="Bahnschrift" w:hAnsi="Bahnschrift"/>
          <w:b/>
          <w:bCs/>
          <w:sz w:val="22"/>
          <w:szCs w:val="22"/>
          <w:lang w:val="it-IT"/>
        </w:rPr>
        <w:t>ANALIZA E SHERBIMIT</w:t>
      </w:r>
    </w:p>
    <w:p w14:paraId="5D673E45" w14:textId="1CC0EA1F" w:rsidR="00841994" w:rsidRDefault="00841994" w:rsidP="00841994">
      <w:pPr>
        <w:spacing w:after="0" w:line="240" w:lineRule="auto"/>
        <w:rPr>
          <w:rFonts w:ascii="Bahnschrift" w:hAnsi="Bahnschrift"/>
          <w:sz w:val="22"/>
          <w:szCs w:val="22"/>
          <w:lang w:val="it-IT"/>
        </w:rPr>
      </w:pPr>
      <w:r w:rsidRPr="002C7FF9">
        <w:rPr>
          <w:rFonts w:ascii="Bahnschrift" w:hAnsi="Bahnschrift"/>
          <w:sz w:val="22"/>
          <w:szCs w:val="22"/>
          <w:lang w:val="it-IT"/>
        </w:rPr>
        <w:t>Në vitin 2024, Bashkia Librazhd ka ruajtur një nivel të lartë të transparencës institucionale, me 100% zhvillim të konsultimeve publike për aktet që kërkojnë detyrimisht këtë proces. Po ashtu, është publikuar raporti vjetor për transparencën dhe është zbatuar Plani Vendor i Integritetit, duke siguruar vazhdimësi në standardet e mirëqeverisjes.</w:t>
      </w:r>
      <w:r w:rsidRPr="002C7FF9">
        <w:rPr>
          <w:rFonts w:ascii="Bahnschrift" w:hAnsi="Bahnschrift"/>
          <w:sz w:val="22"/>
          <w:szCs w:val="22"/>
          <w:lang w:val="it-IT"/>
        </w:rPr>
        <w:br/>
        <w:t>Megjithëse treguesit kryesorë kanë mbetur të qëndrueshëm në vlera të larta, sfidë mbetet përfshirja aktive e qytetarëve në procesin e konsultimeve dhe zgjerimi i kanaleve digjitale të komunikimit, për të siguruar një transparencë më gjithëpërfshirëse. Ruajtja e nivelit të plotë të zbatimit është një arritje e rëndësishme, por kërkohet kalimi nga transparenca formale në atë funksionale, që rrit ndërveprimin dhe llogaridhënien publike.</w:t>
      </w:r>
    </w:p>
    <w:p w14:paraId="2FE26108" w14:textId="57F25D43" w:rsidR="00841994" w:rsidRDefault="00841994" w:rsidP="00841994">
      <w:pPr>
        <w:spacing w:after="0" w:line="240" w:lineRule="auto"/>
        <w:rPr>
          <w:rFonts w:ascii="Bahnschrift" w:hAnsi="Bahnschrift"/>
          <w:sz w:val="22"/>
          <w:szCs w:val="22"/>
          <w:lang w:val="it-IT"/>
        </w:rPr>
      </w:pPr>
    </w:p>
    <w:p w14:paraId="07F0BD11" w14:textId="3991F3F7" w:rsidR="007E2167" w:rsidRDefault="007E2167" w:rsidP="00841994">
      <w:pPr>
        <w:spacing w:after="0" w:line="240" w:lineRule="auto"/>
        <w:rPr>
          <w:rFonts w:ascii="Bahnschrift" w:hAnsi="Bahnschrift"/>
          <w:sz w:val="22"/>
          <w:szCs w:val="22"/>
          <w:lang w:val="it-IT"/>
        </w:rPr>
      </w:pPr>
    </w:p>
    <w:p w14:paraId="2F492CD0" w14:textId="77777777" w:rsidR="007E2167" w:rsidRPr="002C7FF9" w:rsidRDefault="007E2167" w:rsidP="00841994">
      <w:pPr>
        <w:spacing w:after="0" w:line="240" w:lineRule="auto"/>
        <w:rPr>
          <w:rFonts w:ascii="Bahnschrift" w:hAnsi="Bahnschrift"/>
          <w:sz w:val="22"/>
          <w:szCs w:val="22"/>
          <w:lang w:val="it-IT"/>
        </w:rPr>
      </w:pPr>
    </w:p>
    <w:p w14:paraId="5CCCC777" w14:textId="77777777" w:rsidR="00841994" w:rsidRPr="002C7FF9" w:rsidRDefault="00841994" w:rsidP="00841994">
      <w:pPr>
        <w:spacing w:after="0" w:line="240" w:lineRule="auto"/>
        <w:rPr>
          <w:rFonts w:ascii="Bahnschrift" w:hAnsi="Bahnschrift"/>
          <w:sz w:val="22"/>
          <w:szCs w:val="22"/>
          <w:lang w:val="it-IT"/>
        </w:rPr>
      </w:pPr>
    </w:p>
    <w:tbl>
      <w:tblPr>
        <w:tblStyle w:val="TableGrid"/>
        <w:tblW w:w="0" w:type="auto"/>
        <w:tblLook w:val="04A0" w:firstRow="1" w:lastRow="0" w:firstColumn="1" w:lastColumn="0" w:noHBand="0" w:noVBand="1"/>
      </w:tblPr>
      <w:tblGrid>
        <w:gridCol w:w="1461"/>
        <w:gridCol w:w="8115"/>
      </w:tblGrid>
      <w:tr w:rsidR="00841994" w:rsidRPr="009B779C" w14:paraId="0F2B4AF2" w14:textId="77777777" w:rsidTr="004915AB">
        <w:tc>
          <w:tcPr>
            <w:tcW w:w="0" w:type="auto"/>
            <w:hideMark/>
          </w:tcPr>
          <w:p w14:paraId="370CF75F"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lastRenderedPageBreak/>
              <w:t>Kategoria</w:t>
            </w:r>
          </w:p>
        </w:tc>
        <w:tc>
          <w:tcPr>
            <w:tcW w:w="0" w:type="auto"/>
            <w:hideMark/>
          </w:tcPr>
          <w:p w14:paraId="077ADADF"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Përshkrimi</w:t>
            </w:r>
          </w:p>
        </w:tc>
      </w:tr>
      <w:tr w:rsidR="00841994" w:rsidRPr="009B779C" w14:paraId="37DF470A" w14:textId="77777777" w:rsidTr="004915AB">
        <w:tc>
          <w:tcPr>
            <w:tcW w:w="0" w:type="auto"/>
            <w:hideMark/>
          </w:tcPr>
          <w:p w14:paraId="0AE6E6A8"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Arritje (2024)</w:t>
            </w:r>
          </w:p>
        </w:tc>
        <w:tc>
          <w:tcPr>
            <w:tcW w:w="0" w:type="auto"/>
            <w:hideMark/>
          </w:tcPr>
          <w:p w14:paraId="572B6C1C"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 Zhvillim i plotë i konsultimeve publike për të gjitha aktet që kërkojnë transparencë ligjore (100%).- Publikim i rregullt i Raportit Vjetor për Transparencën.- Zbatim i Planit Vendor të Integritetit dhe ruajtje e bazës ligjore të raportimit publik</w:t>
            </w:r>
          </w:p>
        </w:tc>
      </w:tr>
      <w:tr w:rsidR="00841994" w:rsidRPr="009B779C" w14:paraId="3164E906" w14:textId="77777777" w:rsidTr="004915AB">
        <w:tc>
          <w:tcPr>
            <w:tcW w:w="0" w:type="auto"/>
            <w:hideMark/>
          </w:tcPr>
          <w:p w14:paraId="0BB50E72"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Sfidat</w:t>
            </w:r>
          </w:p>
        </w:tc>
        <w:tc>
          <w:tcPr>
            <w:tcW w:w="0" w:type="auto"/>
            <w:hideMark/>
          </w:tcPr>
          <w:p w14:paraId="3BF7EDA7"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 Pjesëmarrje e kufizuar e qytetarëve në konsultimet publike (përfshirje formale, jo aktive- Mungesë e trajnimeve të rregullta për stafin mbi integritetin institucional dhe transparencën proaktive.</w:t>
            </w:r>
          </w:p>
        </w:tc>
      </w:tr>
      <w:tr w:rsidR="00841994" w:rsidRPr="009B779C" w14:paraId="032E3AA8" w14:textId="77777777" w:rsidTr="004915AB">
        <w:tc>
          <w:tcPr>
            <w:tcW w:w="0" w:type="auto"/>
            <w:hideMark/>
          </w:tcPr>
          <w:p w14:paraId="074C5E5B"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Objektivat për 2025</w:t>
            </w:r>
          </w:p>
        </w:tc>
        <w:tc>
          <w:tcPr>
            <w:tcW w:w="0" w:type="auto"/>
            <w:hideMark/>
          </w:tcPr>
          <w:p w14:paraId="17CC6E00"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 Rritja e pjesëmarrjes qytetare në konsultime përmes kanaleve digjitale dhe takimeve lokale.- Përditësim i Planit të Integritetit me masa për transparencë proaktive në çdo funksion bashkiak.</w:t>
            </w:r>
          </w:p>
          <w:p w14:paraId="18A4BE89" w14:textId="77777777" w:rsidR="00841994" w:rsidRPr="00841994" w:rsidRDefault="00841994" w:rsidP="004915AB">
            <w:pPr>
              <w:rPr>
                <w:rFonts w:ascii="Bahnschrift" w:eastAsiaTheme="minorEastAsia" w:hAnsi="Bahnschrift"/>
                <w:sz w:val="22"/>
                <w:lang w:val="it-IT"/>
              </w:rPr>
            </w:pPr>
            <w:r w:rsidRPr="00841994">
              <w:rPr>
                <w:rFonts w:ascii="Bahnschrift" w:eastAsiaTheme="minorEastAsia" w:hAnsi="Bahnschrift"/>
                <w:sz w:val="22"/>
                <w:lang w:val="it-IT"/>
              </w:rPr>
              <w:t>-Trajnime për administratën mbi komunikimin me publikun dhe etikën institucionale</w:t>
            </w:r>
          </w:p>
        </w:tc>
      </w:tr>
    </w:tbl>
    <w:p w14:paraId="1EA91316" w14:textId="77777777" w:rsidR="00841994" w:rsidRDefault="00841994" w:rsidP="00841994">
      <w:pPr>
        <w:pStyle w:val="Heading6"/>
      </w:pPr>
    </w:p>
    <w:p w14:paraId="1F8CEAF1" w14:textId="1AB14B79" w:rsidR="00841994" w:rsidRPr="00841994" w:rsidRDefault="00841994" w:rsidP="00841994">
      <w:pPr>
        <w:pStyle w:val="Heading6"/>
      </w:pPr>
      <w:r w:rsidRPr="00D63E14">
        <w:t>A) Treguesit përmbledhës</w:t>
      </w:r>
    </w:p>
    <w:p w14:paraId="65A781AD" w14:textId="3CDE3D01" w:rsidR="00841994" w:rsidRDefault="003814C2" w:rsidP="004D2CAF">
      <w:pPr>
        <w:spacing w:beforeAutospacing="1" w:after="100" w:afterAutospacing="1" w:line="240" w:lineRule="auto"/>
        <w:rPr>
          <w:rFonts w:ascii="Bahnschrift" w:eastAsia="Times New Roman" w:hAnsi="Bahnschrift" w:cs="Times New Roman"/>
          <w:sz w:val="22"/>
          <w:szCs w:val="22"/>
          <w:lang w:val="it-IT"/>
        </w:rPr>
      </w:pPr>
      <w:r>
        <w:rPr>
          <w:rFonts w:ascii="Bahnschrift" w:eastAsia="Times New Roman" w:hAnsi="Bahnschrift" w:cs="Times New Roman"/>
          <w:noProof/>
          <w:sz w:val="22"/>
          <w:szCs w:val="22"/>
          <w:lang w:val="it-IT"/>
        </w:rPr>
        <w:pict w14:anchorId="443AE909">
          <v:shape id="_x0000_s1029" type="#_x0000_t75" alt="" style="position:absolute;margin-left:12pt;margin-top:37.45pt;width:479.35pt;height:199.35pt;z-index:251691008;mso-wrap-edited:f;mso-width-percent:0;mso-height-percent:0;mso-position-horizontal-relative:text;mso-position-vertical-relative:text;mso-width-percent:0;mso-height-percent:0">
            <v:imagedata r:id="rId45" o:title=""/>
            <w10:wrap type="square"/>
          </v:shape>
          <o:OLEObject Type="Embed" ProgID="Word.Document.12" ShapeID="_x0000_s1029" DrawAspect="Content" ObjectID="_1825019495" r:id="rId46">
            <o:FieldCodes>\s</o:FieldCodes>
          </o:OLEObject>
        </w:pict>
      </w:r>
    </w:p>
    <w:p w14:paraId="5CB23281" w14:textId="34D71306" w:rsidR="00313836" w:rsidRDefault="00313836" w:rsidP="004D2CAF">
      <w:pPr>
        <w:spacing w:beforeAutospacing="1" w:after="100" w:afterAutospacing="1" w:line="240" w:lineRule="auto"/>
        <w:rPr>
          <w:rFonts w:ascii="Bahnschrift" w:eastAsia="Times New Roman" w:hAnsi="Bahnschrift" w:cs="Times New Roman"/>
          <w:sz w:val="22"/>
          <w:szCs w:val="22"/>
          <w:lang w:val="it-IT"/>
        </w:rPr>
      </w:pPr>
    </w:p>
    <w:p w14:paraId="3A01A7D8" w14:textId="77777777" w:rsidR="00841994" w:rsidRDefault="00841994" w:rsidP="004D2CAF">
      <w:pPr>
        <w:spacing w:beforeAutospacing="1" w:after="100" w:afterAutospacing="1" w:line="240" w:lineRule="auto"/>
        <w:rPr>
          <w:rFonts w:ascii="Bahnschrift" w:eastAsia="Times New Roman" w:hAnsi="Bahnschrift" w:cs="Times New Roman"/>
          <w:sz w:val="22"/>
          <w:szCs w:val="22"/>
          <w:lang w:val="it-IT"/>
        </w:rPr>
      </w:pPr>
    </w:p>
    <w:p w14:paraId="43DE471E" w14:textId="0EF465D5" w:rsidR="009E7330" w:rsidRPr="00841994" w:rsidRDefault="003814C2" w:rsidP="00841994">
      <w:pPr>
        <w:pStyle w:val="Heading6"/>
      </w:pPr>
      <w:r>
        <w:rPr>
          <w:rFonts w:ascii="Bahnschrift" w:eastAsia="Times New Roman" w:hAnsi="Bahnschrift" w:cs="Times New Roman"/>
          <w:noProof/>
          <w:sz w:val="22"/>
          <w:szCs w:val="22"/>
          <w:lang w:val="it-IT"/>
        </w:rPr>
        <w:pict w14:anchorId="70C0F878">
          <v:shape id="_x0000_s1028" type="#_x0000_t75" alt="" style="position:absolute;margin-left:-10.7pt;margin-top:29.3pt;width:485pt;height:156pt;z-index:251693056;mso-wrap-edited:f;mso-width-percent:0;mso-height-percent:0;mso-position-horizontal-relative:text;mso-position-vertical-relative:text;mso-width-percent:0;mso-height-percent:0">
            <v:imagedata r:id="rId47" o:title=""/>
            <w10:wrap type="square"/>
          </v:shape>
          <o:OLEObject Type="Embed" ProgID="Word.Document.12" ShapeID="_x0000_s1028" DrawAspect="Content" ObjectID="_1825019496" r:id="rId48">
            <o:FieldCodes>\s</o:FieldCodes>
          </o:OLEObject>
        </w:pict>
      </w:r>
      <w:r w:rsidR="00841994">
        <w:t>B</w:t>
      </w:r>
      <w:r w:rsidR="00841994" w:rsidRPr="00D63E14">
        <w:t>) Shtojcë: Të dhënat burim (Tbl_TeDhenat)</w:t>
      </w:r>
    </w:p>
    <w:p w14:paraId="7BC2B1B6" w14:textId="77777777" w:rsidR="005C75A0" w:rsidRPr="00BD74CF" w:rsidRDefault="005C75A0" w:rsidP="005C75A0">
      <w:pPr>
        <w:pStyle w:val="Heading2"/>
        <w:shd w:val="clear" w:color="auto" w:fill="595959" w:themeFill="text1" w:themeFillTint="A6"/>
        <w:rPr>
          <w:rFonts w:ascii="Segoe UI Emoji" w:eastAsia="Times New Roman" w:hAnsi="Segoe UI Emoji" w:cs="Segoe UI Emoji"/>
          <w:color w:val="FFFFFF"/>
          <w:sz w:val="56"/>
          <w:szCs w:val="56"/>
          <w:lang w:val="it-IT"/>
        </w:rPr>
      </w:pPr>
      <w:bookmarkStart w:id="17" w:name="_Toc209362171"/>
      <w:r w:rsidRPr="00BD74CF">
        <w:rPr>
          <w:rFonts w:ascii="Segoe UI Emoji" w:eastAsia="Times New Roman" w:hAnsi="Segoe UI Emoji" w:cs="Segoe UI Emoji"/>
          <w:b/>
          <w:color w:val="FFFFFF"/>
          <w:sz w:val="56"/>
          <w:szCs w:val="56"/>
          <w:lang w:val="it-IT"/>
        </w:rPr>
        <w:t>⚖</w:t>
      </w:r>
      <w:r w:rsidRPr="005648A1">
        <w:rPr>
          <w:rFonts w:ascii="Segoe UI Emoji" w:eastAsia="Times New Roman" w:hAnsi="Segoe UI Emoji" w:cs="Segoe UI Emoji"/>
          <w:b/>
          <w:color w:val="FFFFFF"/>
          <w:sz w:val="56"/>
          <w:szCs w:val="56"/>
        </w:rPr>
        <w:t>️</w:t>
      </w:r>
      <w:r w:rsidRPr="00BD74CF">
        <w:rPr>
          <w:rFonts w:ascii="Segoe UI Emoji" w:eastAsia="Times New Roman" w:hAnsi="Segoe UI Emoji" w:cs="Segoe UI Emoji"/>
          <w:b/>
          <w:color w:val="FFFFFF"/>
          <w:sz w:val="56"/>
          <w:szCs w:val="56"/>
          <w:lang w:val="it-IT"/>
        </w:rPr>
        <w:t xml:space="preserve"> Barazia Gjinore</w:t>
      </w:r>
      <w:bookmarkEnd w:id="17"/>
    </w:p>
    <w:p w14:paraId="66D057EF" w14:textId="04247260" w:rsidR="00DE5A66" w:rsidRDefault="005648A1" w:rsidP="007E2167">
      <w:pPr>
        <w:spacing w:before="360" w:after="360"/>
        <w:jc w:val="both"/>
        <w:rPr>
          <w:rFonts w:ascii="Bahnschrift" w:hAnsi="Bahnschrift"/>
          <w:sz w:val="22"/>
          <w:szCs w:val="22"/>
          <w:lang w:val="it-IT"/>
        </w:rPr>
      </w:pPr>
      <w:r w:rsidRPr="00BD74CF">
        <w:rPr>
          <w:rFonts w:ascii="Bahnschrift" w:hAnsi="Bahnschrift"/>
          <w:b/>
          <w:bCs/>
          <w:sz w:val="22"/>
          <w:szCs w:val="22"/>
          <w:lang w:val="it-IT"/>
        </w:rPr>
        <w:t>Përshkrim i përgjithshëm:</w:t>
      </w:r>
      <w:r w:rsidRPr="00BD74CF">
        <w:rPr>
          <w:rFonts w:ascii="Bahnschrift" w:hAnsi="Bahnschrift"/>
          <w:sz w:val="22"/>
          <w:szCs w:val="22"/>
          <w:lang w:val="it-IT"/>
        </w:rPr>
        <w:t xml:space="preserve"> Barazia gjinore në qeverisjen vendore është një element kyç për ndërtimin e institucioneve demokratike, të përgjegjshme dhe gjithëpërfshirëse. Ajo nënkupton jo vetëm balancën në përfaqësim midis grave dhe burrave në pozicione drejtuese, por edhe integrimin sistematik të perspektivës gjinore në të gjitha proceset vendimmarrëse, politikat publike dhe ofrimin e shërbimeve. Në këtë kontekst, bashkitë duhet të garantojnë: • pjesëmarrje të barabartë gjinore në strukturat vendimmarrëse dhe administrative; • buxhetim të përgjigjshëm gjinor (gender-responsive budgeting), sipas parashikimeve në legjislacionin në fuqi; • ofrim shërbimesh që adresojnë në mënyrë të barabartë nevojat e ndryshme të grave dhe burrave, të rejave dhe të rinjve, vajzave dhe djemve, në të gjithë diversitetin e tyre; • mekanizma për mbrojtjen nga diskriminimi gjninor, diskriminimi për shkak të përkatësisë së shumëfishtë (intersectional discrimination) dhe dhuna me bazë gjinore. Bashkitë janë të detyruara të raportojnë jo vetëm për përfaqësimin gjinor në pozicione kyçe, por edhe për masat e marra për të zbatuar barazinë gjinore në praktikë, në përputhje me legjislacionin kombëtar dhe angazhimet ndërkombëtare.</w:t>
      </w:r>
    </w:p>
    <w:p w14:paraId="27F4EBB8" w14:textId="77777777" w:rsidR="007E2167" w:rsidRPr="007E2167" w:rsidRDefault="007E2167" w:rsidP="007E2167">
      <w:pPr>
        <w:spacing w:after="0" w:line="240" w:lineRule="auto"/>
        <w:rPr>
          <w:rFonts w:ascii="Bahnschrift" w:hAnsi="Bahnschrift"/>
          <w:sz w:val="22"/>
          <w:szCs w:val="22"/>
          <w:lang w:val="it-IT"/>
        </w:rPr>
      </w:pPr>
      <w:r w:rsidRPr="007E2167">
        <w:rPr>
          <w:rFonts w:ascii="Bahnschrift" w:hAnsi="Bahnschrift"/>
          <w:sz w:val="22"/>
          <w:szCs w:val="22"/>
          <w:lang w:val="it-IT"/>
        </w:rPr>
        <w:t>Në vitin 2024, Bashkia Librazhd ka ruajtur stabilitet në përfaqësimin e grave në organet e larta vendimmarrëse, me 30% përfaqësim në rolet politike dhe drejtuese (kryetare, nënkryetare, administratore, anëtare të këshillit bashkiak). Megjithatë, në nivelet e tjera të administratës (pozicione drejtuese të mesme e të ulëta), përqindja e grave ka rënë nga 43.5% në 39%, një ulje prej 4.45 pikë përqindje, që tregon një prirje regresive në ekuilibrin gjinor të strukturës së brendshme.</w:t>
      </w:r>
      <w:r w:rsidRPr="007E2167">
        <w:rPr>
          <w:rFonts w:ascii="Bahnschrift" w:hAnsi="Bahnschrift"/>
          <w:sz w:val="22"/>
          <w:szCs w:val="22"/>
          <w:lang w:val="it-IT"/>
        </w:rPr>
        <w:br/>
        <w:t xml:space="preserve">Plani Vendor për Barazinë Gjinore mbetet aktiv dhe i zbatueshëm, duke ofruar bazën institucionale për ruajtjen e angazhimit në politikat gjinore. Përmirësimi i balancës gjinore </w:t>
      </w:r>
      <w:r w:rsidRPr="007E2167">
        <w:rPr>
          <w:rFonts w:ascii="Bahnschrift" w:hAnsi="Bahnschrift"/>
          <w:sz w:val="22"/>
          <w:szCs w:val="22"/>
          <w:lang w:val="it-IT"/>
        </w:rPr>
        <w:lastRenderedPageBreak/>
        <w:t>kërkon megjithatë masa më të drejtpërdrejta nxitëse për pjesëmarrjen e grave në drejtim, si përmes mentorimit dhe zhvillimit të karrierës, ashtu edhe përmes zbatimit efektiv të planit vendor.</w:t>
      </w:r>
    </w:p>
    <w:tbl>
      <w:tblPr>
        <w:tblStyle w:val="TableGrid"/>
        <w:tblW w:w="0" w:type="auto"/>
        <w:tblLook w:val="04A0" w:firstRow="1" w:lastRow="0" w:firstColumn="1" w:lastColumn="0" w:noHBand="0" w:noVBand="1"/>
      </w:tblPr>
      <w:tblGrid>
        <w:gridCol w:w="1394"/>
        <w:gridCol w:w="8182"/>
      </w:tblGrid>
      <w:tr w:rsidR="007E2167" w:rsidRPr="00573625" w14:paraId="5118026D" w14:textId="77777777" w:rsidTr="004915AB">
        <w:tc>
          <w:tcPr>
            <w:tcW w:w="0" w:type="auto"/>
            <w:hideMark/>
          </w:tcPr>
          <w:p w14:paraId="7A03BF3E" w14:textId="77777777" w:rsidR="007E2167" w:rsidRPr="007E2167" w:rsidRDefault="007E2167" w:rsidP="004915AB">
            <w:pPr>
              <w:rPr>
                <w:rFonts w:ascii="Bahnschrift" w:eastAsiaTheme="minorEastAsia" w:hAnsi="Bahnschrift"/>
                <w:sz w:val="22"/>
                <w:lang w:val="it-IT"/>
              </w:rPr>
            </w:pPr>
            <w:r w:rsidRPr="007E2167">
              <w:rPr>
                <w:rFonts w:ascii="Bahnschrift" w:eastAsiaTheme="minorEastAsia" w:hAnsi="Bahnschrift"/>
                <w:sz w:val="22"/>
                <w:lang w:val="it-IT"/>
              </w:rPr>
              <w:t>Arritje (2024)</w:t>
            </w:r>
          </w:p>
        </w:tc>
        <w:tc>
          <w:tcPr>
            <w:tcW w:w="0" w:type="auto"/>
            <w:hideMark/>
          </w:tcPr>
          <w:p w14:paraId="7CCC9FB6" w14:textId="77777777" w:rsidR="007E2167" w:rsidRPr="007E2167" w:rsidRDefault="007E2167" w:rsidP="004915AB">
            <w:pPr>
              <w:rPr>
                <w:rFonts w:ascii="Bahnschrift" w:eastAsiaTheme="minorEastAsia" w:hAnsi="Bahnschrift"/>
                <w:sz w:val="22"/>
                <w:lang w:val="it-IT"/>
              </w:rPr>
            </w:pPr>
            <w:r w:rsidRPr="007E2167">
              <w:rPr>
                <w:rFonts w:ascii="Bahnschrift" w:eastAsiaTheme="minorEastAsia" w:hAnsi="Bahnschrift"/>
                <w:sz w:val="22"/>
                <w:lang w:val="it-IT"/>
              </w:rPr>
              <w:t>- Ruajtje e përfaqësimit 30% të grave në pozicione politike dhe vendimmarrëse të larta.- Zbatim i qëndrueshëm i Planit Vendor për Barazinë Gjinore.- Rritje e ndërgjegjësimit institucional për raportimin gjinor dhe monitorimin e pjesëmarrjes në drejtim.- Pjesëmarrje aktive e grave në Këshillin Bashkiak dhe në pozicione administrative me ndikim.</w:t>
            </w:r>
          </w:p>
        </w:tc>
      </w:tr>
      <w:tr w:rsidR="007E2167" w:rsidRPr="00573625" w14:paraId="785D116F" w14:textId="77777777" w:rsidTr="004915AB">
        <w:tc>
          <w:tcPr>
            <w:tcW w:w="0" w:type="auto"/>
            <w:hideMark/>
          </w:tcPr>
          <w:p w14:paraId="2121EC70" w14:textId="77777777" w:rsidR="007E2167" w:rsidRPr="007E2167" w:rsidRDefault="007E2167" w:rsidP="004915AB">
            <w:pPr>
              <w:rPr>
                <w:rFonts w:ascii="Bahnschrift" w:eastAsiaTheme="minorEastAsia" w:hAnsi="Bahnschrift"/>
                <w:sz w:val="22"/>
                <w:lang w:val="it-IT"/>
              </w:rPr>
            </w:pPr>
            <w:r w:rsidRPr="007E2167">
              <w:rPr>
                <w:rFonts w:ascii="Bahnschrift" w:eastAsiaTheme="minorEastAsia" w:hAnsi="Bahnschrift"/>
                <w:sz w:val="22"/>
                <w:lang w:val="it-IT"/>
              </w:rPr>
              <w:t>Sfidat</w:t>
            </w:r>
          </w:p>
        </w:tc>
        <w:tc>
          <w:tcPr>
            <w:tcW w:w="0" w:type="auto"/>
            <w:hideMark/>
          </w:tcPr>
          <w:p w14:paraId="2D783A30" w14:textId="77777777" w:rsidR="007E2167" w:rsidRPr="007E2167" w:rsidRDefault="007E2167" w:rsidP="004915AB">
            <w:pPr>
              <w:rPr>
                <w:rFonts w:ascii="Bahnschrift" w:eastAsiaTheme="minorEastAsia" w:hAnsi="Bahnschrift"/>
                <w:sz w:val="22"/>
                <w:lang w:val="it-IT"/>
              </w:rPr>
            </w:pPr>
            <w:r w:rsidRPr="007E2167">
              <w:rPr>
                <w:rFonts w:ascii="Bahnschrift" w:eastAsiaTheme="minorEastAsia" w:hAnsi="Bahnschrift"/>
                <w:sz w:val="22"/>
                <w:lang w:val="it-IT"/>
              </w:rPr>
              <w:t>- Rënie e përfaqësimit të grave në pozicione drejtuese të mesme dhe të ulëta (</w:t>
            </w:r>
            <w:r w:rsidRPr="007E2167">
              <w:rPr>
                <w:rFonts w:ascii="Cambria Math" w:eastAsiaTheme="minorEastAsia" w:hAnsi="Cambria Math" w:cs="Cambria Math"/>
                <w:sz w:val="22"/>
                <w:lang w:val="it-IT"/>
              </w:rPr>
              <w:t>−</w:t>
            </w:r>
            <w:r w:rsidRPr="007E2167">
              <w:rPr>
                <w:rFonts w:ascii="Bahnschrift" w:eastAsiaTheme="minorEastAsia" w:hAnsi="Bahnschrift"/>
                <w:sz w:val="22"/>
                <w:lang w:val="it-IT"/>
              </w:rPr>
              <w:t>4.45 p.p.).- Mungesë e mekanizmave praktikë për nxitjen e pjesëmarrjes dhe avancimit të grave në karrierë.- Nevojë për përfshirje më të gjerë të grave në vendimmarrje ekonomike dhe teknike.</w:t>
            </w:r>
          </w:p>
        </w:tc>
      </w:tr>
      <w:tr w:rsidR="007E2167" w:rsidRPr="00573625" w14:paraId="5B49C5F3" w14:textId="77777777" w:rsidTr="004915AB">
        <w:tc>
          <w:tcPr>
            <w:tcW w:w="0" w:type="auto"/>
            <w:hideMark/>
          </w:tcPr>
          <w:p w14:paraId="2572D2E6" w14:textId="77777777" w:rsidR="007E2167" w:rsidRPr="007E2167" w:rsidRDefault="007E2167" w:rsidP="004915AB">
            <w:pPr>
              <w:rPr>
                <w:rFonts w:ascii="Bahnschrift" w:eastAsiaTheme="minorEastAsia" w:hAnsi="Bahnschrift"/>
                <w:sz w:val="22"/>
                <w:lang w:val="it-IT"/>
              </w:rPr>
            </w:pPr>
            <w:r w:rsidRPr="007E2167">
              <w:rPr>
                <w:rFonts w:ascii="Bahnschrift" w:eastAsiaTheme="minorEastAsia" w:hAnsi="Bahnschrift"/>
                <w:sz w:val="22"/>
                <w:lang w:val="it-IT"/>
              </w:rPr>
              <w:t>Objektivat për 2025</w:t>
            </w:r>
          </w:p>
        </w:tc>
        <w:tc>
          <w:tcPr>
            <w:tcW w:w="0" w:type="auto"/>
            <w:hideMark/>
          </w:tcPr>
          <w:p w14:paraId="411199E5" w14:textId="77777777" w:rsidR="007E2167" w:rsidRPr="007E2167" w:rsidRDefault="007E2167" w:rsidP="004915AB">
            <w:pPr>
              <w:rPr>
                <w:rFonts w:ascii="Bahnschrift" w:eastAsiaTheme="minorEastAsia" w:hAnsi="Bahnschrift"/>
                <w:sz w:val="22"/>
                <w:lang w:val="it-IT"/>
              </w:rPr>
            </w:pPr>
            <w:r w:rsidRPr="007E2167">
              <w:rPr>
                <w:rFonts w:ascii="Bahnschrift" w:eastAsiaTheme="minorEastAsia" w:hAnsi="Bahnschrift"/>
                <w:sz w:val="22"/>
                <w:lang w:val="it-IT"/>
              </w:rPr>
              <w:t>- Rritja e përfaqësimit të grave në pozicione drejtuese në të paktën 45% të totalit të strukturave drejtuese.- Përditësimi i Planit Vendor për Barazinë Gjinore me masa konkrete për çdo sektor.- Trajnime periodike mbi barazinë gjinore dhe përfshirjen në vendimmarrje për stafin bashkiak</w:t>
            </w:r>
          </w:p>
        </w:tc>
      </w:tr>
    </w:tbl>
    <w:p w14:paraId="1DFDEB69" w14:textId="77777777" w:rsidR="007E2167" w:rsidRPr="00841994" w:rsidRDefault="007E2167" w:rsidP="007E2167">
      <w:pPr>
        <w:pStyle w:val="Heading6"/>
      </w:pPr>
      <w:r w:rsidRPr="00D63E14">
        <w:t>A) Treguesit përmbledhës</w:t>
      </w:r>
    </w:p>
    <w:p w14:paraId="383BDA5D" w14:textId="5E090A6D" w:rsidR="007E2167" w:rsidRPr="00B068C1" w:rsidRDefault="003814C2" w:rsidP="007E2167">
      <w:pPr>
        <w:spacing w:after="0" w:line="240" w:lineRule="auto"/>
        <w:rPr>
          <w:rFonts w:ascii="Times New Roman" w:hAnsi="Times New Roman" w:cs="Times New Roman"/>
          <w:color w:val="000000" w:themeColor="text1"/>
          <w:sz w:val="24"/>
          <w:szCs w:val="24"/>
        </w:rPr>
      </w:pPr>
      <w:r>
        <w:rPr>
          <w:rFonts w:ascii="Bahnschrift" w:hAnsi="Bahnschrift"/>
          <w:noProof/>
          <w:sz w:val="22"/>
          <w:szCs w:val="22"/>
          <w:lang w:val="it-IT"/>
        </w:rPr>
        <w:pict w14:anchorId="1EC30C81">
          <v:shape id="_x0000_s1027" type="#_x0000_t75" alt="" style="position:absolute;margin-left:-3.3pt;margin-top:29.4pt;width:507.35pt;height:221.35pt;z-index:251699200;mso-wrap-edited:f;mso-width-percent:0;mso-height-percent:0;mso-position-horizontal-relative:text;mso-position-vertical-relative:text;mso-width-percent:0;mso-height-percent:0">
            <v:imagedata r:id="rId49" o:title=""/>
            <w10:wrap type="square"/>
          </v:shape>
          <o:OLEObject Type="Embed" ProgID="Word.Document.12" ShapeID="_x0000_s1027" DrawAspect="Content" ObjectID="_1825019497" r:id="rId50">
            <o:FieldCodes>\s</o:FieldCodes>
          </o:OLEObject>
        </w:pict>
      </w:r>
    </w:p>
    <w:p w14:paraId="3BB06912" w14:textId="77777777" w:rsidR="007E2167" w:rsidRDefault="007E2167" w:rsidP="007E2167">
      <w:pPr>
        <w:pStyle w:val="Heading6"/>
      </w:pPr>
    </w:p>
    <w:p w14:paraId="2E0FA4C0" w14:textId="77777777" w:rsidR="007E2167" w:rsidRDefault="007E2167" w:rsidP="007E2167">
      <w:pPr>
        <w:pStyle w:val="Heading6"/>
      </w:pPr>
    </w:p>
    <w:p w14:paraId="38E77D26" w14:textId="77777777" w:rsidR="007E2167" w:rsidRDefault="007E2167" w:rsidP="007E2167">
      <w:pPr>
        <w:pStyle w:val="Heading6"/>
      </w:pPr>
    </w:p>
    <w:p w14:paraId="2BF82D2B" w14:textId="454168FF" w:rsidR="00DB26F0" w:rsidRPr="007E2167" w:rsidRDefault="003814C2" w:rsidP="007E2167">
      <w:pPr>
        <w:pStyle w:val="Heading6"/>
      </w:pPr>
      <w:r>
        <w:rPr>
          <w:rFonts w:ascii="Bahnschrift" w:hAnsi="Bahnschrift"/>
          <w:noProof/>
          <w:sz w:val="22"/>
          <w:szCs w:val="22"/>
          <w:lang w:val="it-IT"/>
        </w:rPr>
        <w:pict w14:anchorId="6C3FD56B">
          <v:shape id="_x0000_s1026" type="#_x0000_t75" alt="" style="position:absolute;margin-left:0;margin-top:31.95pt;width:499pt;height:185pt;z-index:251701248;mso-wrap-edited:f;mso-width-percent:0;mso-height-percent:0;mso-position-horizontal-relative:text;mso-position-vertical-relative:text;mso-width-percent:0;mso-height-percent:0">
            <v:imagedata r:id="rId51" o:title=""/>
            <w10:wrap type="square"/>
          </v:shape>
          <o:OLEObject Type="Embed" ProgID="Word.Document.12" ShapeID="_x0000_s1026" DrawAspect="Content" ObjectID="_1825019498" r:id="rId52">
            <o:FieldCodes>\s</o:FieldCodes>
          </o:OLEObject>
        </w:pict>
      </w:r>
      <w:r w:rsidR="007E2167">
        <w:t>B</w:t>
      </w:r>
      <w:r w:rsidR="007E2167" w:rsidRPr="00D63E14">
        <w:t>) Shtojcë: Të dhënat burim (Tbl_TeDhenat)</w:t>
      </w:r>
    </w:p>
    <w:p w14:paraId="66F6CD28" w14:textId="77777777" w:rsidR="005C75A0" w:rsidRPr="00BD74CF" w:rsidRDefault="005C75A0" w:rsidP="005C75A0">
      <w:pPr>
        <w:pStyle w:val="Heading2"/>
        <w:shd w:val="clear" w:color="auto" w:fill="595959" w:themeFill="text1" w:themeFillTint="A6"/>
        <w:rPr>
          <w:rFonts w:ascii="Segoe UI Emoji" w:eastAsia="Times New Roman" w:hAnsi="Segoe UI Emoji" w:cs="Segoe UI Emoji"/>
          <w:color w:val="FFFFFF"/>
          <w:sz w:val="56"/>
          <w:szCs w:val="56"/>
          <w:lang w:val="it-IT"/>
        </w:rPr>
      </w:pPr>
      <w:bookmarkStart w:id="18" w:name="_Toc209362172"/>
      <w:r w:rsidRPr="005648A1">
        <w:rPr>
          <w:rFonts w:ascii="Segoe UI Emoji" w:eastAsia="Times New Roman" w:hAnsi="Segoe UI Emoji" w:cs="Segoe UI Emoji"/>
          <w:b/>
          <w:color w:val="FFFFFF"/>
          <w:sz w:val="56"/>
          <w:szCs w:val="56"/>
        </w:rPr>
        <w:t>🇪🇺</w:t>
      </w:r>
      <w:r w:rsidRPr="00BD74CF">
        <w:rPr>
          <w:rFonts w:ascii="Segoe UI Emoji" w:eastAsia="Times New Roman" w:hAnsi="Segoe UI Emoji" w:cs="Segoe UI Emoji"/>
          <w:b/>
          <w:color w:val="FFFFFF"/>
          <w:sz w:val="56"/>
          <w:szCs w:val="56"/>
          <w:lang w:val="it-IT"/>
        </w:rPr>
        <w:t xml:space="preserve"> Integrimi në BE</w:t>
      </w:r>
      <w:bookmarkEnd w:id="18"/>
    </w:p>
    <w:p w14:paraId="5C216AFB" w14:textId="6FDE3789" w:rsidR="005648A1" w:rsidRDefault="005648A1" w:rsidP="008B4059">
      <w:pPr>
        <w:spacing w:before="360" w:after="360"/>
        <w:jc w:val="both"/>
        <w:rPr>
          <w:rFonts w:ascii="Bahnschrift" w:hAnsi="Bahnschrift"/>
          <w:sz w:val="22"/>
          <w:szCs w:val="22"/>
          <w:lang w:val="it-IT"/>
        </w:rPr>
      </w:pPr>
      <w:r w:rsidRPr="00BD74CF">
        <w:rPr>
          <w:rFonts w:ascii="Bahnschrift" w:hAnsi="Bahnschrift"/>
          <w:sz w:val="22"/>
          <w:szCs w:val="22"/>
          <w:lang w:val="it-IT"/>
        </w:rPr>
        <w:t>Përshkrim i përgjithshëm: Integrimi në Bashkimin Evropian nuk është vetëm një detyrë e qeverisjes qendrore, por një proces i përbashkët që përfshin të gjitha nivelet e administratës publike, përfshirë pushtetin vendor. Bashkitë luajnë një rol kritik në afërsimin me acquis communautaire dhe përmbushjen e kritereve të anëtarësimit, përmes politikave dhe shërbimeve që ndikojnë drejtpërdrejt në jetën e qytetarëve. Në këtë kuptim, bashkive u rekomandohet të: • Ndërtojnë kapacitete administrative për të përthithur dhe zbatuar fondet e BE-së; • Zhvillojnë plane vendore për përputhshmëri me politikat e BE-së në fusha si mjedisi, energjia, digjitalizimi, barazia gjinore, migracioni, zhvillimi rural dhe përfshirja sociale; • Fuqizojnë rolin e komuniteteve në procesin e integrimit përmes transparencës, pjesëmarrjes dhe ndërtimit të besimit publik.</w:t>
      </w:r>
    </w:p>
    <w:p w14:paraId="3112FFCC" w14:textId="77777777"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Në vitin 2024, Bashkia Librazhd ka ruajtur një përfshirje të qëndrueshme në proceset e integrimit evropian, me struktura funksionale të performancës dhe integrimit në vend, si dhe me komisionin e integrimit pranë këshillit bashkiak që vijon aktivitetin normal. Numri i marrëveshjeve ndërbashkiake është rritur nga 3 në 4, duke forcuar bashkëpunimin horizontal dhe shkëmbimin institucional me bashki të tjera.</w:t>
      </w:r>
      <w:r w:rsidRPr="008B4059">
        <w:rPr>
          <w:rFonts w:ascii="Bahnschrift" w:hAnsi="Bahnschrift"/>
          <w:sz w:val="22"/>
          <w:szCs w:val="22"/>
          <w:lang w:val="it-IT"/>
        </w:rPr>
        <w:br/>
        <w:t>Megjithatë, raporti i projekteve të fituara ndaj atyre të aplikuara ka rënë nga 28.6% në 20%, që tregon rritje të përpjekjeve në aplikime, por pa rritje të suksesshmërisë. Bashkia nuk ka ende plan të migracionit dhe diasporës, çka përbën një boshllëk në kuadrin e përafrimit me politikat e BE-së për qeverisjen lokale gjithëpërfshirëse dhe zhvillimin socio-ekonomik të qëndrueshëm.</w:t>
      </w:r>
      <w:r w:rsidRPr="008B4059">
        <w:rPr>
          <w:rFonts w:ascii="Bahnschrift" w:hAnsi="Bahnschrift"/>
          <w:sz w:val="22"/>
          <w:szCs w:val="22"/>
          <w:lang w:val="it-IT"/>
        </w:rPr>
        <w:br/>
        <w:t xml:space="preserve">Për të forcuar rolin e saj në procesin e integrimit, bashkia duhet të rrisë cilësinë e aplikimeve </w:t>
      </w:r>
      <w:r w:rsidRPr="008B4059">
        <w:rPr>
          <w:rFonts w:ascii="Bahnschrift" w:hAnsi="Bahnschrift"/>
          <w:sz w:val="22"/>
          <w:szCs w:val="22"/>
          <w:lang w:val="it-IT"/>
        </w:rPr>
        <w:lastRenderedPageBreak/>
        <w:t>në thirrjet evropiane, të zhvillojë projekte të përbashkëta me partnerë rajonalë dhe të integrojë planifikimin strategjik në përputhje me kapitujt përkatës të acquis communautaire.</w:t>
      </w:r>
    </w:p>
    <w:p w14:paraId="40EC0FB3" w14:textId="5DA9623B" w:rsidR="008B4059" w:rsidRPr="008B4059" w:rsidRDefault="008B4059" w:rsidP="008B4059">
      <w:pPr>
        <w:spacing w:after="0" w:line="240" w:lineRule="auto"/>
        <w:rPr>
          <w:rFonts w:ascii="Bahnschrift" w:hAnsi="Bahnschrift"/>
          <w:sz w:val="22"/>
          <w:szCs w:val="22"/>
          <w:lang w:val="it-IT"/>
        </w:rPr>
      </w:pPr>
    </w:p>
    <w:tbl>
      <w:tblPr>
        <w:tblStyle w:val="TableGrid"/>
        <w:tblW w:w="9776" w:type="dxa"/>
        <w:tblLook w:val="04A0" w:firstRow="1" w:lastRow="0" w:firstColumn="1" w:lastColumn="0" w:noHBand="0" w:noVBand="1"/>
      </w:tblPr>
      <w:tblGrid>
        <w:gridCol w:w="1384"/>
        <w:gridCol w:w="8392"/>
      </w:tblGrid>
      <w:tr w:rsidR="008B4059" w:rsidRPr="008B4059" w14:paraId="5DBB805F" w14:textId="77777777" w:rsidTr="008B4059">
        <w:tc>
          <w:tcPr>
            <w:tcW w:w="0" w:type="auto"/>
            <w:hideMark/>
          </w:tcPr>
          <w:p w14:paraId="3B2310A8" w14:textId="77777777" w:rsidR="008B4059" w:rsidRPr="008B4059" w:rsidRDefault="008B4059" w:rsidP="004915AB">
            <w:pPr>
              <w:rPr>
                <w:rFonts w:ascii="Bahnschrift" w:eastAsiaTheme="minorEastAsia" w:hAnsi="Bahnschrift"/>
                <w:sz w:val="21"/>
                <w:szCs w:val="21"/>
                <w:lang w:val="it-IT"/>
              </w:rPr>
            </w:pPr>
            <w:r w:rsidRPr="008B4059">
              <w:rPr>
                <w:rFonts w:ascii="Bahnschrift" w:eastAsiaTheme="minorEastAsia" w:hAnsi="Bahnschrift"/>
                <w:sz w:val="21"/>
                <w:szCs w:val="21"/>
                <w:lang w:val="it-IT"/>
              </w:rPr>
              <w:t>Arritje (2024)</w:t>
            </w:r>
          </w:p>
        </w:tc>
        <w:tc>
          <w:tcPr>
            <w:tcW w:w="8392" w:type="dxa"/>
            <w:hideMark/>
          </w:tcPr>
          <w:p w14:paraId="4B42D393" w14:textId="77777777" w:rsidR="008B4059" w:rsidRPr="008B4059" w:rsidRDefault="008B4059" w:rsidP="004915AB">
            <w:pPr>
              <w:rPr>
                <w:rFonts w:ascii="Bahnschrift" w:eastAsiaTheme="minorEastAsia" w:hAnsi="Bahnschrift"/>
                <w:sz w:val="21"/>
                <w:szCs w:val="21"/>
                <w:lang w:val="it-IT"/>
              </w:rPr>
            </w:pPr>
            <w:r w:rsidRPr="008B4059">
              <w:rPr>
                <w:rFonts w:ascii="Bahnschrift" w:eastAsiaTheme="minorEastAsia" w:hAnsi="Bahnschrift"/>
                <w:sz w:val="21"/>
                <w:szCs w:val="21"/>
                <w:lang w:val="it-IT"/>
              </w:rPr>
              <w:t xml:space="preserve">- Funksionim i qëndrueshëm i strukturës së performancës dhe komisionit të integrimit evropian pranë këshillit bashkiak.- Rritje e numrit të marrëveshjeve ndërbashkiake (3 </w:t>
            </w:r>
            <w:r w:rsidRPr="008B4059">
              <w:rPr>
                <w:rFonts w:ascii="Arial" w:eastAsiaTheme="minorEastAsia" w:hAnsi="Arial" w:cs="Arial"/>
                <w:sz w:val="21"/>
                <w:szCs w:val="21"/>
                <w:lang w:val="it-IT"/>
              </w:rPr>
              <w:t>→</w:t>
            </w:r>
            <w:r w:rsidRPr="008B4059">
              <w:rPr>
                <w:rFonts w:ascii="Bahnschrift" w:eastAsiaTheme="minorEastAsia" w:hAnsi="Bahnschrift"/>
                <w:sz w:val="21"/>
                <w:szCs w:val="21"/>
                <w:lang w:val="it-IT"/>
              </w:rPr>
              <w:t xml:space="preserve"> 4), duke forcuar bashkëpunimin horizontal.- Pjesëmarrje aktive në aplikime për projekte të BE-së (10 aplikime në periudhën 2023–2024)</w:t>
            </w:r>
          </w:p>
        </w:tc>
      </w:tr>
      <w:tr w:rsidR="008B4059" w:rsidRPr="008B4059" w14:paraId="06146F86" w14:textId="77777777" w:rsidTr="008B4059">
        <w:tc>
          <w:tcPr>
            <w:tcW w:w="0" w:type="auto"/>
            <w:hideMark/>
          </w:tcPr>
          <w:p w14:paraId="7D38B1C5" w14:textId="77777777" w:rsidR="008B4059" w:rsidRPr="008B4059" w:rsidRDefault="008B4059" w:rsidP="004915AB">
            <w:pPr>
              <w:rPr>
                <w:rFonts w:ascii="Bahnschrift" w:eastAsiaTheme="minorEastAsia" w:hAnsi="Bahnschrift"/>
                <w:sz w:val="21"/>
                <w:szCs w:val="21"/>
                <w:lang w:val="it-IT"/>
              </w:rPr>
            </w:pPr>
            <w:r w:rsidRPr="008B4059">
              <w:rPr>
                <w:rFonts w:ascii="Bahnschrift" w:eastAsiaTheme="minorEastAsia" w:hAnsi="Bahnschrift"/>
                <w:sz w:val="21"/>
                <w:szCs w:val="21"/>
                <w:lang w:val="it-IT"/>
              </w:rPr>
              <w:t>Sfidat</w:t>
            </w:r>
          </w:p>
        </w:tc>
        <w:tc>
          <w:tcPr>
            <w:tcW w:w="8392" w:type="dxa"/>
            <w:hideMark/>
          </w:tcPr>
          <w:p w14:paraId="0308DD0A" w14:textId="77777777" w:rsidR="008B4059" w:rsidRPr="008B4059" w:rsidRDefault="008B4059" w:rsidP="004915AB">
            <w:pPr>
              <w:rPr>
                <w:rFonts w:ascii="Bahnschrift" w:eastAsiaTheme="minorEastAsia" w:hAnsi="Bahnschrift"/>
                <w:sz w:val="21"/>
                <w:szCs w:val="21"/>
                <w:lang w:val="it-IT"/>
              </w:rPr>
            </w:pPr>
            <w:r w:rsidRPr="008B4059">
              <w:rPr>
                <w:rFonts w:ascii="Bahnschrift" w:eastAsiaTheme="minorEastAsia" w:hAnsi="Bahnschrift"/>
                <w:sz w:val="21"/>
                <w:szCs w:val="21"/>
                <w:lang w:val="it-IT"/>
              </w:rPr>
              <w:t>- Ulje e raportit të projekteve të fituara ndaj të aplikuarave (</w:t>
            </w:r>
            <w:r w:rsidRPr="008B4059">
              <w:rPr>
                <w:rFonts w:ascii="Cambria Math" w:eastAsiaTheme="minorEastAsia" w:hAnsi="Cambria Math" w:cs="Cambria Math"/>
                <w:sz w:val="21"/>
                <w:szCs w:val="21"/>
                <w:lang w:val="it-IT"/>
              </w:rPr>
              <w:t>−</w:t>
            </w:r>
            <w:r w:rsidRPr="008B4059">
              <w:rPr>
                <w:rFonts w:ascii="Bahnschrift" w:eastAsiaTheme="minorEastAsia" w:hAnsi="Bahnschrift"/>
                <w:sz w:val="21"/>
                <w:szCs w:val="21"/>
                <w:lang w:val="it-IT"/>
              </w:rPr>
              <w:t>8.6 p.p.).- Mungesë e Planit të Migracionit dhe Diasporës.- Kapacitete të kufizuara për hartimin teknik të projekteve sipas standardeve të BE-së.- Përdorim i kufizuar i të dhënave dhe analizës për ndërtimin e aplikimeve konkurruese.- Mungesë bashkëpunimesh të qëndrueshme ndërkombëtare për aplikime të përbashkëta.</w:t>
            </w:r>
          </w:p>
        </w:tc>
      </w:tr>
      <w:tr w:rsidR="008B4059" w:rsidRPr="008B4059" w14:paraId="69FB025D" w14:textId="77777777" w:rsidTr="008B4059">
        <w:tc>
          <w:tcPr>
            <w:tcW w:w="0" w:type="auto"/>
            <w:hideMark/>
          </w:tcPr>
          <w:p w14:paraId="59072592" w14:textId="77777777" w:rsidR="008B4059" w:rsidRPr="008B4059" w:rsidRDefault="008B4059" w:rsidP="004915AB">
            <w:pPr>
              <w:rPr>
                <w:rFonts w:ascii="Bahnschrift" w:eastAsiaTheme="minorEastAsia" w:hAnsi="Bahnschrift"/>
                <w:sz w:val="21"/>
                <w:szCs w:val="21"/>
                <w:lang w:val="it-IT"/>
              </w:rPr>
            </w:pPr>
            <w:r w:rsidRPr="008B4059">
              <w:rPr>
                <w:rFonts w:ascii="Bahnschrift" w:eastAsiaTheme="minorEastAsia" w:hAnsi="Bahnschrift"/>
                <w:sz w:val="21"/>
                <w:szCs w:val="21"/>
                <w:lang w:val="it-IT"/>
              </w:rPr>
              <w:t>Objektivat për 2025</w:t>
            </w:r>
          </w:p>
        </w:tc>
        <w:tc>
          <w:tcPr>
            <w:tcW w:w="8392" w:type="dxa"/>
            <w:hideMark/>
          </w:tcPr>
          <w:p w14:paraId="02394439" w14:textId="77777777" w:rsidR="008B4059" w:rsidRPr="008B4059" w:rsidRDefault="008B4059" w:rsidP="004915AB">
            <w:pPr>
              <w:rPr>
                <w:rFonts w:ascii="Bahnschrift" w:eastAsiaTheme="minorEastAsia" w:hAnsi="Bahnschrift"/>
                <w:sz w:val="21"/>
                <w:szCs w:val="21"/>
                <w:lang w:val="it-IT"/>
              </w:rPr>
            </w:pPr>
            <w:r w:rsidRPr="008B4059">
              <w:rPr>
                <w:rFonts w:ascii="Bahnschrift" w:eastAsiaTheme="minorEastAsia" w:hAnsi="Bahnschrift"/>
                <w:sz w:val="21"/>
                <w:szCs w:val="21"/>
                <w:lang w:val="it-IT"/>
              </w:rPr>
              <w:t>- Rritja e raportit të projekteve të fituara ndaj të aplikuarave.- Hartimi dhe miratimi i Planit Vendor të Migracionit dhe Diasporës.- Zhvillimi i strategjisë së integrimit evropian lokal 2025–2027.- Trajnime për stafin mbi IPA, Interreg, dhe Horizon Europe për rritjen e cilësisë së aplikimeve.- Zgjerimi i bashkëpunimeve me bashki dhe organizata nga vendet e rajonit për projektet ndërkufitare.</w:t>
            </w:r>
          </w:p>
        </w:tc>
      </w:tr>
    </w:tbl>
    <w:p w14:paraId="35C76D4C" w14:textId="427FE52F" w:rsidR="008B4059" w:rsidRPr="008B4059" w:rsidRDefault="008B4059" w:rsidP="008B4059">
      <w:pPr>
        <w:pStyle w:val="Heading6"/>
      </w:pPr>
      <w:r w:rsidRPr="008B4059">
        <w:t>A) Treguesit përmbledhës</w:t>
      </w:r>
    </w:p>
    <w:p w14:paraId="5FAE1E25" w14:textId="5C31F62A" w:rsidR="008B4059" w:rsidRDefault="008B4059" w:rsidP="008B4059">
      <w:pPr>
        <w:spacing w:after="0" w:line="240" w:lineRule="auto"/>
      </w:pPr>
    </w:p>
    <w:p w14:paraId="49EAEEDA" w14:textId="0882F0C8" w:rsidR="00303EDF" w:rsidRDefault="00DB411D" w:rsidP="004D641E">
      <w:pPr>
        <w:rPr>
          <w:lang w:val="it-IT"/>
        </w:rPr>
      </w:pPr>
      <w:r>
        <w:rPr>
          <w:noProof/>
          <w:lang w:val="it-IT"/>
        </w:rPr>
        <w:object w:dxaOrig="10540" w:dyaOrig="6160" w14:anchorId="20DC89A8">
          <v:shape id="_x0000_i1028" type="#_x0000_t75" alt="" style="width:527.5pt;height:308pt;mso-width-percent:0;mso-height-percent:0;mso-width-percent:0;mso-height-percent:0" o:ole="">
            <v:imagedata r:id="rId53" o:title=""/>
          </v:shape>
          <o:OLEObject Type="Embed" ProgID="Word.Document.12" ShapeID="_x0000_i1028" DrawAspect="Content" ObjectID="_1825019483" r:id="rId54">
            <o:FieldCodes>\s</o:FieldCodes>
          </o:OLEObject>
        </w:object>
      </w:r>
    </w:p>
    <w:p w14:paraId="0BBF6ED2" w14:textId="77777777" w:rsidR="008B4059" w:rsidRPr="00095A03" w:rsidRDefault="008B4059" w:rsidP="008B4059">
      <w:pPr>
        <w:pStyle w:val="Heading6"/>
      </w:pPr>
      <w:r>
        <w:t>B</w:t>
      </w:r>
      <w:r w:rsidRPr="00095A03">
        <w:t>) Shtojcë: Të dhënat burim (Tbl_TeDhenat)</w:t>
      </w:r>
    </w:p>
    <w:p w14:paraId="4BCD26F2" w14:textId="0759E3A4" w:rsidR="00E51321" w:rsidRPr="00BD74CF" w:rsidRDefault="00DB411D" w:rsidP="004D641E">
      <w:pPr>
        <w:rPr>
          <w:lang w:val="it-IT"/>
        </w:rPr>
      </w:pPr>
      <w:r>
        <w:rPr>
          <w:noProof/>
          <w:lang w:val="it-IT"/>
        </w:rPr>
        <w:object w:dxaOrig="10540" w:dyaOrig="4940" w14:anchorId="0C9D8CBF">
          <v:shape id="_x0000_i1029" type="#_x0000_t75" alt="" style="width:527.5pt;height:247pt;mso-width-percent:0;mso-height-percent:0;mso-width-percent:0;mso-height-percent:0" o:ole="">
            <v:imagedata r:id="rId55" o:title=""/>
          </v:shape>
          <o:OLEObject Type="Embed" ProgID="Word.Document.12" ShapeID="_x0000_i1029" DrawAspect="Content" ObjectID="_1825019484" r:id="rId56">
            <o:FieldCodes>\s</o:FieldCodes>
          </o:OLEObject>
        </w:object>
      </w:r>
    </w:p>
    <w:p w14:paraId="6B102E63" w14:textId="1228E9D2" w:rsidR="00904F51" w:rsidRPr="00BD74CF" w:rsidRDefault="005648A1" w:rsidP="005648A1">
      <w:pPr>
        <w:pStyle w:val="Heading2"/>
        <w:shd w:val="clear" w:color="auto" w:fill="538135" w:themeFill="accent6" w:themeFillShade="BF"/>
        <w:rPr>
          <w:rFonts w:ascii="Bahnschrift" w:eastAsia="Times New Roman" w:hAnsi="Bahnschrift"/>
          <w:color w:val="FFFFFF"/>
          <w:sz w:val="72"/>
          <w:szCs w:val="72"/>
          <w:lang w:val="it-IT"/>
        </w:rPr>
      </w:pPr>
      <w:bookmarkStart w:id="19" w:name="_Toc209362173"/>
      <w:r w:rsidRPr="00BD74CF">
        <w:rPr>
          <w:rFonts w:ascii="Bahnschrift" w:eastAsia="Times New Roman" w:hAnsi="Bahnschrift"/>
          <w:color w:val="FFFFFF"/>
          <w:sz w:val="72"/>
          <w:szCs w:val="72"/>
          <w:lang w:val="it-IT"/>
        </w:rPr>
        <w:lastRenderedPageBreak/>
        <w:t>MENAXHIMI FINANCIAR</w:t>
      </w:r>
      <w:bookmarkEnd w:id="19"/>
    </w:p>
    <w:p w14:paraId="4C904C1B" w14:textId="26C6C78B" w:rsidR="00641A64" w:rsidRDefault="005648A1" w:rsidP="00641A64">
      <w:pPr>
        <w:spacing w:before="360" w:after="360"/>
        <w:jc w:val="both"/>
        <w:rPr>
          <w:rFonts w:ascii="Bahnschrift" w:hAnsi="Bahnschrift"/>
          <w:i/>
          <w:iCs/>
          <w:color w:val="FF0000"/>
          <w:sz w:val="22"/>
          <w:szCs w:val="22"/>
          <w:lang w:val="it-IT"/>
        </w:rPr>
      </w:pPr>
      <w:r w:rsidRPr="00BD74CF">
        <w:rPr>
          <w:rFonts w:ascii="Bahnschrift" w:hAnsi="Bahnschrift"/>
          <w:sz w:val="22"/>
          <w:szCs w:val="22"/>
          <w:lang w:val="it-IT"/>
        </w:rPr>
        <w:t xml:space="preserve">Menaxhimi financiar është një funksion kyç për sigurimin e qëndrueshmërisë dhe eficiencës së qeverisjes vendore. Ai përfshin planifikimin, administrimin dhe raportimin e burimeve financiare të bashkisë, në përputhje me parimet e përgjegjshmërisë dhe transparencës. Në përmbushjen e këtij funksioni, bashkitë udhëhiqen nga kuadri ligjor për financat vendore, përfshirë Ligjin Nr. 9936, datë 26.6.2008 “Për menaxhimin e sistemit buxhetor në Republikën e Shqipërisë” dhe Ligjin Nr. 68/2017 “Për financat e vetëqeverisjes vendore”. Kjo kategori ndahet në </w:t>
      </w:r>
      <w:r w:rsidR="00245A3F" w:rsidRPr="00BD74CF">
        <w:rPr>
          <w:rFonts w:ascii="Bahnschrift" w:hAnsi="Bahnschrift"/>
          <w:sz w:val="22"/>
          <w:szCs w:val="22"/>
          <w:lang w:val="it-IT"/>
        </w:rPr>
        <w:t>tre</w:t>
      </w:r>
      <w:r w:rsidRPr="00BD74CF">
        <w:rPr>
          <w:rFonts w:ascii="Bahnschrift" w:hAnsi="Bahnschrift"/>
          <w:sz w:val="22"/>
          <w:szCs w:val="22"/>
          <w:lang w:val="it-IT"/>
        </w:rPr>
        <w:t xml:space="preserve"> fusha të veçanta që mbulojnë ciklin financiar: të ardhurat, shpenzimet</w:t>
      </w:r>
      <w:r w:rsidR="00245A3F" w:rsidRPr="00BD74CF">
        <w:rPr>
          <w:rFonts w:ascii="Bahnschrift" w:hAnsi="Bahnschrift"/>
          <w:sz w:val="22"/>
          <w:szCs w:val="22"/>
          <w:lang w:val="it-IT"/>
        </w:rPr>
        <w:t xml:space="preserve">, </w:t>
      </w:r>
      <w:r w:rsidRPr="00BD74CF">
        <w:rPr>
          <w:rFonts w:ascii="Bahnschrift" w:hAnsi="Bahnschrift"/>
          <w:sz w:val="22"/>
          <w:szCs w:val="22"/>
          <w:lang w:val="it-IT"/>
        </w:rPr>
        <w:t>dhe buxhetimi. Vlerësimi i këtyre fushave ndihmon në monitorimin e kapaciteteve financiare të bashkive dhe në analizimin e performancës së tyre në përdorimin dhe menaxhimin e burimeve publike.</w:t>
      </w:r>
      <w:r w:rsidR="00D7239C" w:rsidRPr="00BD74CF">
        <w:rPr>
          <w:rFonts w:ascii="Bahnschrift" w:hAnsi="Bahnschrift"/>
          <w:i/>
          <w:iCs/>
          <w:color w:val="FF0000"/>
          <w:sz w:val="22"/>
          <w:szCs w:val="22"/>
          <w:lang w:val="it-IT"/>
        </w:rPr>
        <w:t xml:space="preserve"> </w:t>
      </w:r>
    </w:p>
    <w:p w14:paraId="5A403813" w14:textId="23FAA969" w:rsidR="008B4059" w:rsidRPr="008B4059" w:rsidRDefault="008B4059" w:rsidP="008B4059">
      <w:pPr>
        <w:spacing w:after="0" w:line="240" w:lineRule="auto"/>
        <w:rPr>
          <w:rFonts w:ascii="Bahnschrift" w:hAnsi="Bahnschrift"/>
          <w:b/>
          <w:bCs/>
          <w:sz w:val="22"/>
          <w:szCs w:val="22"/>
          <w:lang w:val="it-IT"/>
        </w:rPr>
      </w:pPr>
      <w:r w:rsidRPr="008B4059">
        <w:rPr>
          <w:rFonts w:ascii="Bahnschrift" w:hAnsi="Bahnschrift"/>
          <w:b/>
          <w:bCs/>
          <w:sz w:val="22"/>
          <w:szCs w:val="22"/>
          <w:lang w:val="it-IT"/>
        </w:rPr>
        <w:t>ANALIZA E FUSHES</w:t>
      </w:r>
    </w:p>
    <w:p w14:paraId="6CB41C92" w14:textId="77777777"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Në vitin 2024, Bashkia Librazhd ka treguar përmirësim të qëndrueshëm në menaxhimin fiskal dhe ruajtje të ekuilibrit midis të ardhurave dhe shpenzimeve, pavarësisht sfidave të territorit dhe kufizimeve buxhetore.</w:t>
      </w:r>
      <w:r w:rsidRPr="008B4059">
        <w:rPr>
          <w:rFonts w:ascii="Bahnschrift" w:hAnsi="Bahnschrift"/>
          <w:sz w:val="22"/>
          <w:szCs w:val="22"/>
          <w:lang w:val="it-IT"/>
        </w:rPr>
        <w:br/>
        <w:t>Të ardhurat e veta për frymë janë rritur nga 4,135 lekë në 4,531 lekë (+10%), ndërsa pavarësia fiskale ndaj transfertave është përmirësuar nga 11.9% në 12.7%.</w:t>
      </w:r>
    </w:p>
    <w:p w14:paraId="54B90DEA" w14:textId="77777777" w:rsidR="008B4059" w:rsidRPr="008B4059" w:rsidRDefault="008B4059" w:rsidP="008B4059">
      <w:pPr>
        <w:spacing w:after="0" w:line="240" w:lineRule="auto"/>
        <w:rPr>
          <w:rFonts w:ascii="Bahnschrift" w:hAnsi="Bahnschrift"/>
          <w:sz w:val="22"/>
          <w:szCs w:val="22"/>
          <w:lang w:val="it-IT"/>
        </w:rPr>
      </w:pPr>
    </w:p>
    <w:p w14:paraId="5A57B408" w14:textId="1FB9E558"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Të ardhurat dhe pavarësia fiskale</w:t>
      </w:r>
    </w:p>
    <w:p w14:paraId="71A27191" w14:textId="790FBE78"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Të ardhurat e veta kanë arritur në 195.1 milion lekë, me një rritje prej 10% krahasuar me vitin 2023.Raporti i të ardhurave të veta ndaj buxhetit është rritur nga 10.7% në 11.3% (+6%), ndërsa të ardhurat nga taksa e pasurisë përbëjnë 11.5% të totalit të të ardhurave vendore, nga 10.5% një vit më parë (+9%).</w:t>
      </w:r>
      <w:r>
        <w:rPr>
          <w:rFonts w:ascii="Bahnschrift" w:hAnsi="Bahnschrift"/>
          <w:sz w:val="22"/>
          <w:szCs w:val="22"/>
          <w:lang w:val="it-IT"/>
        </w:rPr>
        <w:t xml:space="preserve"> </w:t>
      </w:r>
      <w:r w:rsidRPr="008B4059">
        <w:rPr>
          <w:rFonts w:ascii="Bahnschrift" w:hAnsi="Bahnschrift"/>
          <w:sz w:val="22"/>
          <w:szCs w:val="22"/>
          <w:lang w:val="it-IT"/>
        </w:rPr>
        <w:t>Në të njëjtën kohë, shkalla e përdorimit të të ardhurave ka pësuar një rritje të lehtë nga 85.3% në 87.3% (2%), që tregon përdorim më racional të burimeve.</w:t>
      </w:r>
    </w:p>
    <w:p w14:paraId="7FEBBFA2" w14:textId="77777777" w:rsidR="008B4059" w:rsidRPr="008B4059" w:rsidRDefault="008B4059" w:rsidP="008B4059">
      <w:pPr>
        <w:spacing w:after="0" w:line="240" w:lineRule="auto"/>
        <w:rPr>
          <w:rFonts w:ascii="Bahnschrift" w:hAnsi="Bahnschrift"/>
          <w:sz w:val="22"/>
          <w:szCs w:val="22"/>
          <w:lang w:val="it-IT"/>
        </w:rPr>
      </w:pPr>
    </w:p>
    <w:p w14:paraId="1223A2B7" w14:textId="56DEDF57"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Menaxhimi i buxhetit dhe investimet</w:t>
      </w:r>
    </w:p>
    <w:p w14:paraId="7C25F981" w14:textId="77777777"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Buxheti i miratuar për frymë është rritur nga 38,752 lekë në 40,136 lekë (+4).Shkalla e ekzekutimit të buxhetit ka arritur në 87.4%, nga 85.4% një vit më parë (+2%), duke sinjalizuar përmirësim të disiplinës buxhetore dhe realizim më të lartë të planit të shpenzimeve.</w:t>
      </w:r>
    </w:p>
    <w:p w14:paraId="57E1BE73" w14:textId="6C502FA7"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Nga ana tjetër, investimet për frymë janë ulur nga 9,584 lekë në 8,701 lekë (–9%), ndërsa pjesa e investimeve në buxhet ka rënë nga 29% në 24.8% (–14%).</w:t>
      </w:r>
      <w:r w:rsidRPr="008B4059">
        <w:rPr>
          <w:rFonts w:ascii="Bahnschrift" w:hAnsi="Bahnschrift"/>
          <w:sz w:val="22"/>
          <w:szCs w:val="22"/>
          <w:lang w:val="it-IT"/>
        </w:rPr>
        <w:br/>
        <w:t>Kjo tregon një zhvendosje të buxhetit drejt shpenzimeve korrente, veçanërisht në paga dhe mirëmbajtje.</w:t>
      </w:r>
      <w:r>
        <w:rPr>
          <w:rFonts w:ascii="Bahnschrift" w:hAnsi="Bahnschrift"/>
          <w:sz w:val="22"/>
          <w:szCs w:val="22"/>
          <w:lang w:val="it-IT"/>
        </w:rPr>
        <w:t xml:space="preserve"> </w:t>
      </w:r>
      <w:r w:rsidRPr="008B4059">
        <w:rPr>
          <w:rFonts w:ascii="Bahnschrift" w:hAnsi="Bahnschrift"/>
          <w:sz w:val="22"/>
          <w:szCs w:val="22"/>
          <w:lang w:val="it-IT"/>
        </w:rPr>
        <w:t>Pavarësisht kësaj, investimet kapitale mbeten në nivele relativisht të larta për një bashki me madhësi të mesme, duke ruajtur potencial për projekte infrastrukturore dhe përmirësim të shërbimeve publike.</w:t>
      </w:r>
    </w:p>
    <w:p w14:paraId="0A5433E6" w14:textId="77777777" w:rsidR="008B4059" w:rsidRPr="008B4059" w:rsidRDefault="008B4059" w:rsidP="008B4059">
      <w:pPr>
        <w:spacing w:after="0" w:line="240" w:lineRule="auto"/>
        <w:rPr>
          <w:rFonts w:ascii="Bahnschrift" w:hAnsi="Bahnschrift"/>
          <w:sz w:val="22"/>
          <w:szCs w:val="22"/>
          <w:lang w:val="it-IT"/>
        </w:rPr>
      </w:pPr>
    </w:p>
    <w:p w14:paraId="5B57A42B" w14:textId="42B88523"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Struktura e shpenzimeve dhe qëndrueshmëria financiare</w:t>
      </w:r>
    </w:p>
    <w:p w14:paraId="4C41E681" w14:textId="17C578E6"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lastRenderedPageBreak/>
        <w:t>Shpenzimet e personelit janë rritur me 12%, duke arritur 24.96% të buxhetit total, ndërsa shpenzimet operacionale janë rritur me 3%, në 50.2% të buxhetit.</w:t>
      </w:r>
      <w:r>
        <w:rPr>
          <w:rFonts w:ascii="Bahnschrift" w:hAnsi="Bahnschrift"/>
          <w:sz w:val="22"/>
          <w:szCs w:val="22"/>
          <w:lang w:val="it-IT"/>
        </w:rPr>
        <w:t xml:space="preserve"> </w:t>
      </w:r>
      <w:r w:rsidRPr="008B4059">
        <w:rPr>
          <w:rFonts w:ascii="Bahnschrift" w:hAnsi="Bahnschrift"/>
          <w:sz w:val="22"/>
          <w:szCs w:val="22"/>
          <w:lang w:val="it-IT"/>
        </w:rPr>
        <w:t>Megjithatë, detyrimet e prapambetura janë rritur në mënyrë të kontrolluar nga 0.14% në 0.41% të buxhetit (në vlera absolute nga 2.0 në 6.1 milion lekë), që ende mbetet niveli më i ulët ndër bashkitë me strukturë të ngjashme.</w:t>
      </w:r>
      <w:r w:rsidRPr="008B4059">
        <w:rPr>
          <w:rFonts w:ascii="Bahnschrift" w:hAnsi="Bahnschrift"/>
          <w:sz w:val="22"/>
          <w:szCs w:val="22"/>
          <w:lang w:val="it-IT"/>
        </w:rPr>
        <w:br/>
        <w:t>Ky fakt tregon se Bashkia Librazhd ka ruajtur stabilitet financiar dhe aftësi për të përballuar likuiditetin afatshkurtër, pa krijuar borxhe të konsiderueshme ndaj të tretëve.</w:t>
      </w:r>
    </w:p>
    <w:p w14:paraId="5C6C003E" w14:textId="776CB6AA"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Përmbledhje e performancës financiare</w:t>
      </w:r>
    </w:p>
    <w:p w14:paraId="36523BF7" w14:textId="77777777"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Në përmbledhje, Bashkia Librazhd paraqitet me një profil financiar të qëndrueshëm dhe disiplinë të mirë buxhetore, me:</w:t>
      </w:r>
    </w:p>
    <w:p w14:paraId="0BD34CB9" w14:textId="77777777" w:rsidR="008B4059" w:rsidRPr="008B4059" w:rsidRDefault="008B4059" w:rsidP="008B4059">
      <w:pPr>
        <w:numPr>
          <w:ilvl w:val="0"/>
          <w:numId w:val="39"/>
        </w:numPr>
        <w:spacing w:before="0" w:after="0" w:line="240" w:lineRule="auto"/>
        <w:rPr>
          <w:rFonts w:ascii="Bahnschrift" w:hAnsi="Bahnschrift"/>
          <w:sz w:val="22"/>
          <w:szCs w:val="22"/>
          <w:lang w:val="it-IT"/>
        </w:rPr>
      </w:pPr>
      <w:r w:rsidRPr="008B4059">
        <w:rPr>
          <w:rFonts w:ascii="Bahnschrift" w:hAnsi="Bahnschrift"/>
          <w:sz w:val="22"/>
          <w:szCs w:val="22"/>
          <w:lang w:val="it-IT"/>
        </w:rPr>
        <w:t>rritje të të ardhurave vendore dhe forcim të bazës fiskale;</w:t>
      </w:r>
    </w:p>
    <w:p w14:paraId="44330E74" w14:textId="77777777" w:rsidR="008B4059" w:rsidRPr="008B4059" w:rsidRDefault="008B4059" w:rsidP="008B4059">
      <w:pPr>
        <w:numPr>
          <w:ilvl w:val="0"/>
          <w:numId w:val="39"/>
        </w:numPr>
        <w:spacing w:before="0" w:after="0" w:line="240" w:lineRule="auto"/>
        <w:rPr>
          <w:rFonts w:ascii="Bahnschrift" w:hAnsi="Bahnschrift"/>
          <w:sz w:val="22"/>
          <w:szCs w:val="22"/>
          <w:lang w:val="it-IT"/>
        </w:rPr>
      </w:pPr>
      <w:r w:rsidRPr="008B4059">
        <w:rPr>
          <w:rFonts w:ascii="Bahnschrift" w:hAnsi="Bahnschrift"/>
          <w:sz w:val="22"/>
          <w:szCs w:val="22"/>
          <w:lang w:val="it-IT"/>
        </w:rPr>
        <w:t>ekzekutim të përmirësuar të buxhetit;</w:t>
      </w:r>
    </w:p>
    <w:p w14:paraId="75BE4949" w14:textId="77777777" w:rsidR="008B4059" w:rsidRPr="008B4059" w:rsidRDefault="008B4059" w:rsidP="008B4059">
      <w:pPr>
        <w:numPr>
          <w:ilvl w:val="0"/>
          <w:numId w:val="39"/>
        </w:numPr>
        <w:spacing w:before="0" w:after="0" w:line="240" w:lineRule="auto"/>
        <w:rPr>
          <w:rFonts w:ascii="Bahnschrift" w:hAnsi="Bahnschrift"/>
          <w:sz w:val="22"/>
          <w:szCs w:val="22"/>
          <w:lang w:val="it-IT"/>
        </w:rPr>
      </w:pPr>
      <w:r w:rsidRPr="008B4059">
        <w:rPr>
          <w:rFonts w:ascii="Bahnschrift" w:hAnsi="Bahnschrift"/>
          <w:sz w:val="22"/>
          <w:szCs w:val="22"/>
          <w:lang w:val="it-IT"/>
        </w:rPr>
        <w:t>ulje të ngarkesës së detyrimeve;</w:t>
      </w:r>
    </w:p>
    <w:p w14:paraId="200E6ADC" w14:textId="77777777" w:rsidR="008B4059" w:rsidRPr="008B4059" w:rsidRDefault="008B4059" w:rsidP="008B4059">
      <w:pPr>
        <w:numPr>
          <w:ilvl w:val="0"/>
          <w:numId w:val="39"/>
        </w:numPr>
        <w:spacing w:before="0" w:after="0" w:line="240" w:lineRule="auto"/>
        <w:rPr>
          <w:rFonts w:ascii="Bahnschrift" w:hAnsi="Bahnschrift"/>
          <w:sz w:val="22"/>
          <w:szCs w:val="22"/>
          <w:lang w:val="it-IT"/>
        </w:rPr>
      </w:pPr>
      <w:r w:rsidRPr="008B4059">
        <w:rPr>
          <w:rFonts w:ascii="Bahnschrift" w:hAnsi="Bahnschrift"/>
          <w:sz w:val="22"/>
          <w:szCs w:val="22"/>
          <w:lang w:val="it-IT"/>
        </w:rPr>
        <w:t>por me rënien e investimeve si sfidë kryesore për vitin e ardhshëm.</w:t>
      </w:r>
    </w:p>
    <w:p w14:paraId="743C7697" w14:textId="3B0B60BE" w:rsidR="008B4059" w:rsidRPr="008B4059" w:rsidRDefault="008B4059" w:rsidP="008B4059">
      <w:pPr>
        <w:spacing w:after="0" w:line="240" w:lineRule="auto"/>
        <w:rPr>
          <w:rFonts w:ascii="Bahnschrift" w:hAnsi="Bahnschrift"/>
          <w:sz w:val="22"/>
          <w:szCs w:val="22"/>
          <w:lang w:val="it-IT"/>
        </w:rPr>
      </w:pPr>
      <w:r w:rsidRPr="008B4059">
        <w:rPr>
          <w:rFonts w:ascii="Bahnschrift" w:hAnsi="Bahnschrift"/>
          <w:sz w:val="22"/>
          <w:szCs w:val="22"/>
          <w:lang w:val="it-IT"/>
        </w:rPr>
        <w:t>Performanca e përgjithshme financiare është pozitive, me orientim drejt konsolidimit fiskal dhe përmirësimit gradual të autonomisë financiare.</w:t>
      </w:r>
    </w:p>
    <w:p w14:paraId="4E9E7DA2" w14:textId="77777777" w:rsidR="008B4059" w:rsidRPr="008B4059" w:rsidRDefault="008B4059" w:rsidP="008B4059">
      <w:pPr>
        <w:spacing w:after="0" w:line="240" w:lineRule="auto"/>
        <w:rPr>
          <w:rFonts w:ascii="Bahnschrift" w:hAnsi="Bahnschrift"/>
          <w:sz w:val="22"/>
          <w:szCs w:val="22"/>
          <w:lang w:val="it-IT"/>
        </w:rPr>
      </w:pPr>
      <w:r w:rsidRPr="008B4059">
        <w:rPr>
          <w:rFonts w:ascii="Apple Color Emoji" w:hAnsi="Apple Color Emoji" w:cs="Apple Color Emoji"/>
          <w:sz w:val="22"/>
          <w:szCs w:val="22"/>
          <w:lang w:val="it-IT"/>
        </w:rPr>
        <w:t>🧾</w:t>
      </w:r>
      <w:r w:rsidRPr="008B4059">
        <w:rPr>
          <w:rFonts w:ascii="Bahnschrift" w:hAnsi="Bahnschrift"/>
          <w:sz w:val="22"/>
          <w:szCs w:val="22"/>
          <w:lang w:val="it-IT"/>
        </w:rPr>
        <w:t xml:space="preserve"> Tabela: Arritje, Sfida dhe Objektiva</w:t>
      </w:r>
    </w:p>
    <w:tbl>
      <w:tblPr>
        <w:tblStyle w:val="TableGrid"/>
        <w:tblW w:w="10201" w:type="dxa"/>
        <w:tblLook w:val="04A0" w:firstRow="1" w:lastRow="0" w:firstColumn="1" w:lastColumn="0" w:noHBand="0" w:noVBand="1"/>
      </w:tblPr>
      <w:tblGrid>
        <w:gridCol w:w="1788"/>
        <w:gridCol w:w="8413"/>
      </w:tblGrid>
      <w:tr w:rsidR="008B4059" w:rsidRPr="008B4059" w14:paraId="6310C7AA" w14:textId="77777777" w:rsidTr="008B4059">
        <w:tc>
          <w:tcPr>
            <w:tcW w:w="0" w:type="auto"/>
            <w:hideMark/>
          </w:tcPr>
          <w:p w14:paraId="68491701" w14:textId="77777777" w:rsidR="008B4059" w:rsidRPr="008B4059" w:rsidRDefault="008B4059" w:rsidP="004915AB">
            <w:pPr>
              <w:rPr>
                <w:rFonts w:ascii="Bahnschrift" w:eastAsiaTheme="minorEastAsia" w:hAnsi="Bahnschrift"/>
                <w:sz w:val="20"/>
                <w:szCs w:val="20"/>
                <w:lang w:val="it-IT"/>
              </w:rPr>
            </w:pPr>
            <w:r w:rsidRPr="008B4059">
              <w:rPr>
                <w:rFonts w:ascii="Bahnschrift" w:eastAsiaTheme="minorEastAsia" w:hAnsi="Bahnschrift"/>
                <w:sz w:val="20"/>
                <w:szCs w:val="20"/>
                <w:lang w:val="it-IT"/>
              </w:rPr>
              <w:t>Arritje (2024)</w:t>
            </w:r>
          </w:p>
        </w:tc>
        <w:tc>
          <w:tcPr>
            <w:tcW w:w="8413" w:type="dxa"/>
            <w:hideMark/>
          </w:tcPr>
          <w:p w14:paraId="5704828A" w14:textId="77777777" w:rsidR="008B4059" w:rsidRPr="008B4059" w:rsidRDefault="008B4059" w:rsidP="004915AB">
            <w:pPr>
              <w:rPr>
                <w:rFonts w:ascii="Bahnschrift" w:eastAsiaTheme="minorEastAsia" w:hAnsi="Bahnschrift"/>
                <w:sz w:val="20"/>
                <w:szCs w:val="20"/>
                <w:lang w:val="it-IT"/>
              </w:rPr>
            </w:pPr>
            <w:r w:rsidRPr="008B4059">
              <w:rPr>
                <w:rFonts w:ascii="Bahnschrift" w:eastAsiaTheme="minorEastAsia" w:hAnsi="Bahnschrift"/>
                <w:sz w:val="20"/>
                <w:szCs w:val="20"/>
                <w:lang w:val="it-IT"/>
              </w:rPr>
              <w:t>- Rritje 10% e të ardhurave të veta për frymë.</w:t>
            </w:r>
            <w:r w:rsidRPr="008B4059">
              <w:rPr>
                <w:rFonts w:ascii="Bahnschrift" w:eastAsiaTheme="minorEastAsia" w:hAnsi="Bahnschrift"/>
                <w:sz w:val="20"/>
                <w:szCs w:val="20"/>
                <w:lang w:val="it-IT"/>
              </w:rPr>
              <w:br/>
              <w:t>- Përmirësim i pavarësisë fiskale (+7%).</w:t>
            </w:r>
            <w:r w:rsidRPr="008B4059">
              <w:rPr>
                <w:rFonts w:ascii="Bahnschrift" w:eastAsiaTheme="minorEastAsia" w:hAnsi="Bahnschrift"/>
                <w:sz w:val="20"/>
                <w:szCs w:val="20"/>
                <w:lang w:val="it-IT"/>
              </w:rPr>
              <w:br/>
              <w:t>- Ekzekutim i buxhetit në 87.4%.</w:t>
            </w:r>
            <w:r w:rsidRPr="008B4059">
              <w:rPr>
                <w:rFonts w:ascii="Bahnschrift" w:eastAsiaTheme="minorEastAsia" w:hAnsi="Bahnschrift"/>
                <w:sz w:val="20"/>
                <w:szCs w:val="20"/>
                <w:lang w:val="it-IT"/>
              </w:rPr>
              <w:br/>
              <w:t>- Rritje e taksës së pasurisë (+9%).</w:t>
            </w:r>
            <w:r w:rsidRPr="008B4059">
              <w:rPr>
                <w:rFonts w:ascii="Bahnschrift" w:eastAsiaTheme="minorEastAsia" w:hAnsi="Bahnschrift"/>
                <w:sz w:val="20"/>
                <w:szCs w:val="20"/>
                <w:lang w:val="it-IT"/>
              </w:rPr>
              <w:br/>
              <w:t>- Niveli i ulët i detyrimeve të prapambetura (0.4%).</w:t>
            </w:r>
          </w:p>
        </w:tc>
      </w:tr>
      <w:tr w:rsidR="008B4059" w:rsidRPr="008B4059" w14:paraId="63EE5CDF" w14:textId="77777777" w:rsidTr="008B4059">
        <w:tc>
          <w:tcPr>
            <w:tcW w:w="0" w:type="auto"/>
            <w:hideMark/>
          </w:tcPr>
          <w:p w14:paraId="15C8B54E" w14:textId="77777777" w:rsidR="008B4059" w:rsidRPr="008B4059" w:rsidRDefault="008B4059" w:rsidP="004915AB">
            <w:pPr>
              <w:rPr>
                <w:rFonts w:ascii="Bahnschrift" w:eastAsiaTheme="minorEastAsia" w:hAnsi="Bahnschrift"/>
                <w:sz w:val="20"/>
                <w:szCs w:val="20"/>
                <w:lang w:val="it-IT"/>
              </w:rPr>
            </w:pPr>
            <w:r w:rsidRPr="008B4059">
              <w:rPr>
                <w:rFonts w:ascii="Bahnschrift" w:eastAsiaTheme="minorEastAsia" w:hAnsi="Bahnschrift"/>
                <w:sz w:val="20"/>
                <w:szCs w:val="20"/>
                <w:lang w:val="it-IT"/>
              </w:rPr>
              <w:t>Sfida</w:t>
            </w:r>
          </w:p>
        </w:tc>
        <w:tc>
          <w:tcPr>
            <w:tcW w:w="8413" w:type="dxa"/>
            <w:hideMark/>
          </w:tcPr>
          <w:p w14:paraId="4FE01E11" w14:textId="77777777" w:rsidR="008B4059" w:rsidRPr="008B4059" w:rsidRDefault="008B4059" w:rsidP="004915AB">
            <w:pPr>
              <w:rPr>
                <w:rFonts w:ascii="Bahnschrift" w:eastAsiaTheme="minorEastAsia" w:hAnsi="Bahnschrift"/>
                <w:sz w:val="20"/>
                <w:szCs w:val="20"/>
                <w:lang w:val="it-IT"/>
              </w:rPr>
            </w:pPr>
            <w:r w:rsidRPr="008B4059">
              <w:rPr>
                <w:rFonts w:ascii="Bahnschrift" w:eastAsiaTheme="minorEastAsia" w:hAnsi="Bahnschrift"/>
                <w:sz w:val="20"/>
                <w:szCs w:val="20"/>
                <w:lang w:val="it-IT"/>
              </w:rPr>
              <w:t>- Ulje e investimeve për frymë (–9%) dhe e peshës së tyre në buxhet (–14%).</w:t>
            </w:r>
            <w:r w:rsidRPr="008B4059">
              <w:rPr>
                <w:rFonts w:ascii="Bahnschrift" w:eastAsiaTheme="minorEastAsia" w:hAnsi="Bahnschrift"/>
                <w:sz w:val="20"/>
                <w:szCs w:val="20"/>
                <w:lang w:val="it-IT"/>
              </w:rPr>
              <w:br/>
              <w:t>- Rritje e shpenzimeve të personelit dhe operacionale.</w:t>
            </w:r>
            <w:r w:rsidRPr="008B4059">
              <w:rPr>
                <w:rFonts w:ascii="Bahnschrift" w:eastAsiaTheme="minorEastAsia" w:hAnsi="Bahnschrift"/>
                <w:sz w:val="20"/>
                <w:szCs w:val="20"/>
                <w:lang w:val="it-IT"/>
              </w:rPr>
              <w:br/>
              <w:t>- Varësi e lartë nga transfertat (mbi 87% e të ardhurave totale).</w:t>
            </w:r>
          </w:p>
        </w:tc>
      </w:tr>
      <w:tr w:rsidR="008B4059" w:rsidRPr="008B4059" w14:paraId="3296554D" w14:textId="77777777" w:rsidTr="008B4059">
        <w:tc>
          <w:tcPr>
            <w:tcW w:w="0" w:type="auto"/>
            <w:hideMark/>
          </w:tcPr>
          <w:p w14:paraId="4A6DCA07" w14:textId="77777777" w:rsidR="008B4059" w:rsidRPr="008B4059" w:rsidRDefault="008B4059" w:rsidP="004915AB">
            <w:pPr>
              <w:rPr>
                <w:rFonts w:ascii="Bahnschrift" w:eastAsiaTheme="minorEastAsia" w:hAnsi="Bahnschrift"/>
                <w:sz w:val="20"/>
                <w:szCs w:val="20"/>
                <w:lang w:val="it-IT"/>
              </w:rPr>
            </w:pPr>
            <w:r w:rsidRPr="008B4059">
              <w:rPr>
                <w:rFonts w:ascii="Bahnschrift" w:eastAsiaTheme="minorEastAsia" w:hAnsi="Bahnschrift"/>
                <w:sz w:val="20"/>
                <w:szCs w:val="20"/>
                <w:lang w:val="it-IT"/>
              </w:rPr>
              <w:t>Objektiva për 2025</w:t>
            </w:r>
          </w:p>
        </w:tc>
        <w:tc>
          <w:tcPr>
            <w:tcW w:w="8413" w:type="dxa"/>
            <w:hideMark/>
          </w:tcPr>
          <w:p w14:paraId="70EC4169" w14:textId="77777777" w:rsidR="008B4059" w:rsidRPr="008B4059" w:rsidRDefault="008B4059" w:rsidP="004915AB">
            <w:pPr>
              <w:rPr>
                <w:rFonts w:ascii="Bahnschrift" w:eastAsiaTheme="minorEastAsia" w:hAnsi="Bahnschrift"/>
                <w:sz w:val="20"/>
                <w:szCs w:val="20"/>
                <w:lang w:val="it-IT"/>
              </w:rPr>
            </w:pPr>
            <w:r w:rsidRPr="008B4059">
              <w:rPr>
                <w:rFonts w:ascii="Bahnschrift" w:eastAsiaTheme="minorEastAsia" w:hAnsi="Bahnschrift"/>
                <w:sz w:val="20"/>
                <w:szCs w:val="20"/>
                <w:lang w:val="it-IT"/>
              </w:rPr>
              <w:t>- Rritje e të ardhurave vendore përmes përmirësimit të mbledhjes së taksave dhe tarifave.</w:t>
            </w:r>
            <w:r w:rsidRPr="008B4059">
              <w:rPr>
                <w:rFonts w:ascii="Bahnschrift" w:eastAsiaTheme="minorEastAsia" w:hAnsi="Bahnschrift"/>
                <w:sz w:val="20"/>
                <w:szCs w:val="20"/>
                <w:lang w:val="it-IT"/>
              </w:rPr>
              <w:br/>
              <w:t>- Rritje e investimeve mbi 27% të buxhetit.</w:t>
            </w:r>
            <w:r w:rsidRPr="008B4059">
              <w:rPr>
                <w:rFonts w:ascii="Bahnschrift" w:eastAsiaTheme="minorEastAsia" w:hAnsi="Bahnschrift"/>
                <w:sz w:val="20"/>
                <w:szCs w:val="20"/>
                <w:lang w:val="it-IT"/>
              </w:rPr>
              <w:br/>
              <w:t>- Mbajtje e detyrimeve nën 1% të buxhetit.</w:t>
            </w:r>
            <w:r w:rsidRPr="008B4059">
              <w:rPr>
                <w:rFonts w:ascii="Bahnschrift" w:eastAsiaTheme="minorEastAsia" w:hAnsi="Bahnschrift"/>
                <w:sz w:val="20"/>
                <w:szCs w:val="20"/>
                <w:lang w:val="it-IT"/>
              </w:rPr>
              <w:br/>
              <w:t>- Përmirësim i strukturës së shpenzimeve drejt eficiencës.</w:t>
            </w:r>
          </w:p>
        </w:tc>
      </w:tr>
    </w:tbl>
    <w:p w14:paraId="4C534410" w14:textId="6F5718CA" w:rsidR="008B4059" w:rsidRPr="008B4059" w:rsidRDefault="008B4059" w:rsidP="008B4059">
      <w:pPr>
        <w:pStyle w:val="Heading6"/>
      </w:pPr>
      <w:r w:rsidRPr="008B4059">
        <w:t>A) Treguesit përmbledhës</w:t>
      </w:r>
    </w:p>
    <w:tbl>
      <w:tblPr>
        <w:tblStyle w:val="ListTable5DarkAccent3"/>
        <w:tblW w:w="9893" w:type="dxa"/>
        <w:tblInd w:w="25" w:type="dxa"/>
        <w:tblLook w:val="0000" w:firstRow="0" w:lastRow="0" w:firstColumn="0" w:lastColumn="0" w:noHBand="0" w:noVBand="0"/>
      </w:tblPr>
      <w:tblGrid>
        <w:gridCol w:w="871"/>
        <w:gridCol w:w="2135"/>
        <w:gridCol w:w="1193"/>
        <w:gridCol w:w="1102"/>
        <w:gridCol w:w="990"/>
        <w:gridCol w:w="968"/>
        <w:gridCol w:w="1068"/>
        <w:gridCol w:w="1566"/>
      </w:tblGrid>
      <w:tr w:rsidR="008B4059" w:rsidRPr="008B4059" w14:paraId="6B7C6AD0"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1" w:type="dxa"/>
          </w:tcPr>
          <w:p w14:paraId="1AB4EF3B" w14:textId="77777777" w:rsidR="008B4059" w:rsidRPr="008B4059" w:rsidRDefault="008B4059" w:rsidP="008B4059">
            <w:r w:rsidRPr="008B4059">
              <w:t>Lloj</w:t>
            </w:r>
          </w:p>
        </w:tc>
        <w:tc>
          <w:tcPr>
            <w:cnfStyle w:val="000001000000" w:firstRow="0" w:lastRow="0" w:firstColumn="0" w:lastColumn="0" w:oddVBand="0" w:evenVBand="1" w:oddHBand="0" w:evenHBand="0" w:firstRowFirstColumn="0" w:firstRowLastColumn="0" w:lastRowFirstColumn="0" w:lastRowLastColumn="0"/>
            <w:tcW w:w="2135" w:type="dxa"/>
          </w:tcPr>
          <w:p w14:paraId="2A4A5D3D" w14:textId="77777777" w:rsidR="008B4059" w:rsidRPr="008B4059" w:rsidRDefault="008B4059" w:rsidP="008B4059">
            <w:r w:rsidRPr="008B4059">
              <w:t>Emri</w:t>
            </w:r>
          </w:p>
        </w:tc>
        <w:tc>
          <w:tcPr>
            <w:cnfStyle w:val="000010000000" w:firstRow="0" w:lastRow="0" w:firstColumn="0" w:lastColumn="0" w:oddVBand="1" w:evenVBand="0" w:oddHBand="0" w:evenHBand="0" w:firstRowFirstColumn="0" w:firstRowLastColumn="0" w:lastRowFirstColumn="0" w:lastRowLastColumn="0"/>
            <w:tcW w:w="1193" w:type="dxa"/>
          </w:tcPr>
          <w:p w14:paraId="01E7A67C" w14:textId="77777777" w:rsidR="008B4059" w:rsidRPr="008B4059" w:rsidRDefault="008B4059" w:rsidP="008B4059">
            <w:r w:rsidRPr="008B4059">
              <w:t>Njësia Matëse</w:t>
            </w:r>
          </w:p>
        </w:tc>
        <w:tc>
          <w:tcPr>
            <w:cnfStyle w:val="000001000000" w:firstRow="0" w:lastRow="0" w:firstColumn="0" w:lastColumn="0" w:oddVBand="0" w:evenVBand="1" w:oddHBand="0" w:evenHBand="0" w:firstRowFirstColumn="0" w:firstRowLastColumn="0" w:lastRowFirstColumn="0" w:lastRowLastColumn="0"/>
            <w:tcW w:w="1102" w:type="dxa"/>
          </w:tcPr>
          <w:p w14:paraId="2EEA94CD" w14:textId="77777777" w:rsidR="008B4059" w:rsidRPr="008B4059" w:rsidRDefault="008B4059" w:rsidP="008B4059">
            <w:r w:rsidRPr="008B4059">
              <w:t>Vlera 2023</w:t>
            </w:r>
          </w:p>
        </w:tc>
        <w:tc>
          <w:tcPr>
            <w:cnfStyle w:val="000010000000" w:firstRow="0" w:lastRow="0" w:firstColumn="0" w:lastColumn="0" w:oddVBand="1" w:evenVBand="0" w:oddHBand="0" w:evenHBand="0" w:firstRowFirstColumn="0" w:firstRowLastColumn="0" w:lastRowFirstColumn="0" w:lastRowLastColumn="0"/>
            <w:tcW w:w="990" w:type="dxa"/>
          </w:tcPr>
          <w:p w14:paraId="785B4753" w14:textId="77777777" w:rsidR="008B4059" w:rsidRPr="008B4059" w:rsidRDefault="008B4059" w:rsidP="008B4059">
            <w:r w:rsidRPr="008B4059">
              <w:t>Vlera 2024</w:t>
            </w:r>
          </w:p>
        </w:tc>
        <w:tc>
          <w:tcPr>
            <w:cnfStyle w:val="000001000000" w:firstRow="0" w:lastRow="0" w:firstColumn="0" w:lastColumn="0" w:oddVBand="0" w:evenVBand="1" w:oddHBand="0" w:evenHBand="0" w:firstRowFirstColumn="0" w:firstRowLastColumn="0" w:lastRowFirstColumn="0" w:lastRowLastColumn="0"/>
            <w:tcW w:w="968" w:type="dxa"/>
          </w:tcPr>
          <w:p w14:paraId="60CC3D9A" w14:textId="77777777" w:rsidR="008B4059" w:rsidRPr="008B4059" w:rsidRDefault="008B4059" w:rsidP="008B4059">
            <w:r w:rsidRPr="008B4059">
              <w:t>Trendi</w:t>
            </w:r>
          </w:p>
        </w:tc>
        <w:tc>
          <w:tcPr>
            <w:cnfStyle w:val="000010000000" w:firstRow="0" w:lastRow="0" w:firstColumn="0" w:lastColumn="0" w:oddVBand="1" w:evenVBand="0" w:oddHBand="0" w:evenHBand="0" w:firstRowFirstColumn="0" w:firstRowLastColumn="0" w:lastRowFirstColumn="0" w:lastRowLastColumn="0"/>
            <w:tcW w:w="1068" w:type="dxa"/>
          </w:tcPr>
          <w:p w14:paraId="16641FEE" w14:textId="77777777" w:rsidR="008B4059" w:rsidRPr="008B4059" w:rsidRDefault="008B4059" w:rsidP="008B4059">
            <w:r w:rsidRPr="008B4059">
              <w:t>Simboli i trendit</w:t>
            </w:r>
          </w:p>
        </w:tc>
        <w:tc>
          <w:tcPr>
            <w:cnfStyle w:val="000001000000" w:firstRow="0" w:lastRow="0" w:firstColumn="0" w:lastColumn="0" w:oddVBand="0" w:evenVBand="1" w:oddHBand="0" w:evenHBand="0" w:firstRowFirstColumn="0" w:firstRowLastColumn="0" w:lastRowFirstColumn="0" w:lastRowLastColumn="0"/>
            <w:tcW w:w="1566" w:type="dxa"/>
          </w:tcPr>
          <w:p w14:paraId="3DF7EE44" w14:textId="77777777" w:rsidR="008B4059" w:rsidRPr="008B4059" w:rsidRDefault="008B4059" w:rsidP="008B4059">
            <w:r w:rsidRPr="008B4059">
              <w:t>% Ndryshimi</w:t>
            </w:r>
          </w:p>
        </w:tc>
      </w:tr>
      <w:tr w:rsidR="008B4059" w:rsidRPr="008B4059" w14:paraId="0C0391CC" w14:textId="77777777" w:rsidTr="008B4059">
        <w:tc>
          <w:tcPr>
            <w:cnfStyle w:val="000010000000" w:firstRow="0" w:lastRow="0" w:firstColumn="0" w:lastColumn="0" w:oddVBand="1" w:evenVBand="0" w:oddHBand="0" w:evenHBand="0" w:firstRowFirstColumn="0" w:firstRowLastColumn="0" w:lastRowFirstColumn="0" w:lastRowLastColumn="0"/>
            <w:tcW w:w="871" w:type="dxa"/>
          </w:tcPr>
          <w:p w14:paraId="1F1A8BAD"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586D24B8" w14:textId="77777777" w:rsidR="008B4059" w:rsidRPr="008B4059" w:rsidRDefault="008B4059" w:rsidP="008B4059">
            <w:r w:rsidRPr="008B4059">
              <w:t>Të ardhurat e veta për frymë</w:t>
            </w:r>
          </w:p>
        </w:tc>
        <w:tc>
          <w:tcPr>
            <w:cnfStyle w:val="000010000000" w:firstRow="0" w:lastRow="0" w:firstColumn="0" w:lastColumn="0" w:oddVBand="1" w:evenVBand="0" w:oddHBand="0" w:evenHBand="0" w:firstRowFirstColumn="0" w:firstRowLastColumn="0" w:lastRowFirstColumn="0" w:lastRowLastColumn="0"/>
            <w:tcW w:w="1193" w:type="dxa"/>
          </w:tcPr>
          <w:p w14:paraId="6E267B83" w14:textId="77777777" w:rsidR="008B4059" w:rsidRPr="008B4059" w:rsidRDefault="008B4059" w:rsidP="008B4059">
            <w:r w:rsidRPr="008B4059">
              <w:t>leke/person</w:t>
            </w:r>
          </w:p>
        </w:tc>
        <w:tc>
          <w:tcPr>
            <w:cnfStyle w:val="000001000000" w:firstRow="0" w:lastRow="0" w:firstColumn="0" w:lastColumn="0" w:oddVBand="0" w:evenVBand="1" w:oddHBand="0" w:evenHBand="0" w:firstRowFirstColumn="0" w:firstRowLastColumn="0" w:lastRowFirstColumn="0" w:lastRowLastColumn="0"/>
            <w:tcW w:w="1102" w:type="dxa"/>
          </w:tcPr>
          <w:p w14:paraId="555D342B" w14:textId="77777777" w:rsidR="008B4059" w:rsidRPr="008B4059" w:rsidRDefault="008B4059" w:rsidP="008B4059">
            <w:r w:rsidRPr="008B4059">
              <w:t>4135.00</w:t>
            </w:r>
          </w:p>
        </w:tc>
        <w:tc>
          <w:tcPr>
            <w:cnfStyle w:val="000010000000" w:firstRow="0" w:lastRow="0" w:firstColumn="0" w:lastColumn="0" w:oddVBand="1" w:evenVBand="0" w:oddHBand="0" w:evenHBand="0" w:firstRowFirstColumn="0" w:firstRowLastColumn="0" w:lastRowFirstColumn="0" w:lastRowLastColumn="0"/>
            <w:tcW w:w="990" w:type="dxa"/>
          </w:tcPr>
          <w:p w14:paraId="73A73EE4" w14:textId="77777777" w:rsidR="008B4059" w:rsidRPr="008B4059" w:rsidRDefault="008B4059" w:rsidP="008B4059">
            <w:r w:rsidRPr="008B4059">
              <w:t>4530.82</w:t>
            </w:r>
          </w:p>
        </w:tc>
        <w:tc>
          <w:tcPr>
            <w:cnfStyle w:val="000001000000" w:firstRow="0" w:lastRow="0" w:firstColumn="0" w:lastColumn="0" w:oddVBand="0" w:evenVBand="1" w:oddHBand="0" w:evenHBand="0" w:firstRowFirstColumn="0" w:firstRowLastColumn="0" w:lastRowFirstColumn="0" w:lastRowLastColumn="0"/>
            <w:tcW w:w="968" w:type="dxa"/>
          </w:tcPr>
          <w:p w14:paraId="7224B8E5" w14:textId="77777777" w:rsidR="008B4059" w:rsidRPr="008B4059" w:rsidRDefault="008B4059" w:rsidP="008B4059">
            <w:r w:rsidRPr="008B4059">
              <w:t>395.83</w:t>
            </w:r>
          </w:p>
        </w:tc>
        <w:tc>
          <w:tcPr>
            <w:cnfStyle w:val="000010000000" w:firstRow="0" w:lastRow="0" w:firstColumn="0" w:lastColumn="0" w:oddVBand="1" w:evenVBand="0" w:oddHBand="0" w:evenHBand="0" w:firstRowFirstColumn="0" w:firstRowLastColumn="0" w:lastRowFirstColumn="0" w:lastRowLastColumn="0"/>
            <w:tcW w:w="1068" w:type="dxa"/>
          </w:tcPr>
          <w:p w14:paraId="05D62401"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1EC1CDDE" w14:textId="77777777" w:rsidR="008B4059" w:rsidRPr="008B4059" w:rsidRDefault="008B4059" w:rsidP="008B4059">
            <w:r w:rsidRPr="008B4059">
              <w:t>10%</w:t>
            </w:r>
          </w:p>
        </w:tc>
      </w:tr>
      <w:tr w:rsidR="008B4059" w:rsidRPr="008B4059" w14:paraId="7045F140"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1" w:type="dxa"/>
          </w:tcPr>
          <w:p w14:paraId="7FFCF1E8"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25D95754" w14:textId="77777777" w:rsidR="008B4059" w:rsidRPr="008B4059" w:rsidRDefault="008B4059" w:rsidP="008B4059">
            <w:r w:rsidRPr="008B4059">
              <w:t>Të ardhurat e veta përkundrejt transfertave</w:t>
            </w:r>
          </w:p>
        </w:tc>
        <w:tc>
          <w:tcPr>
            <w:cnfStyle w:val="000010000000" w:firstRow="0" w:lastRow="0" w:firstColumn="0" w:lastColumn="0" w:oddVBand="1" w:evenVBand="0" w:oddHBand="0" w:evenHBand="0" w:firstRowFirstColumn="0" w:firstRowLastColumn="0" w:lastRowFirstColumn="0" w:lastRowLastColumn="0"/>
            <w:tcW w:w="1193" w:type="dxa"/>
          </w:tcPr>
          <w:p w14:paraId="1DF809B5"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102" w:type="dxa"/>
          </w:tcPr>
          <w:p w14:paraId="4F993693" w14:textId="77777777" w:rsidR="008B4059" w:rsidRPr="008B4059" w:rsidRDefault="008B4059" w:rsidP="008B4059">
            <w:r w:rsidRPr="008B4059">
              <w:t>11.94</w:t>
            </w:r>
          </w:p>
        </w:tc>
        <w:tc>
          <w:tcPr>
            <w:cnfStyle w:val="000010000000" w:firstRow="0" w:lastRow="0" w:firstColumn="0" w:lastColumn="0" w:oddVBand="1" w:evenVBand="0" w:oddHBand="0" w:evenHBand="0" w:firstRowFirstColumn="0" w:firstRowLastColumn="0" w:lastRowFirstColumn="0" w:lastRowLastColumn="0"/>
            <w:tcW w:w="990" w:type="dxa"/>
          </w:tcPr>
          <w:p w14:paraId="43CF8CBB" w14:textId="77777777" w:rsidR="008B4059" w:rsidRPr="008B4059" w:rsidRDefault="008B4059" w:rsidP="008B4059">
            <w:r w:rsidRPr="008B4059">
              <w:t>12.73</w:t>
            </w:r>
          </w:p>
        </w:tc>
        <w:tc>
          <w:tcPr>
            <w:cnfStyle w:val="000001000000" w:firstRow="0" w:lastRow="0" w:firstColumn="0" w:lastColumn="0" w:oddVBand="0" w:evenVBand="1" w:oddHBand="0" w:evenHBand="0" w:firstRowFirstColumn="0" w:firstRowLastColumn="0" w:lastRowFirstColumn="0" w:lastRowLastColumn="0"/>
            <w:tcW w:w="968" w:type="dxa"/>
          </w:tcPr>
          <w:p w14:paraId="0C56A7EC" w14:textId="77777777" w:rsidR="008B4059" w:rsidRPr="008B4059" w:rsidRDefault="008B4059" w:rsidP="008B4059">
            <w:r w:rsidRPr="008B4059">
              <w:t>0.78</w:t>
            </w:r>
          </w:p>
        </w:tc>
        <w:tc>
          <w:tcPr>
            <w:cnfStyle w:val="000010000000" w:firstRow="0" w:lastRow="0" w:firstColumn="0" w:lastColumn="0" w:oddVBand="1" w:evenVBand="0" w:oddHBand="0" w:evenHBand="0" w:firstRowFirstColumn="0" w:firstRowLastColumn="0" w:lastRowFirstColumn="0" w:lastRowLastColumn="0"/>
            <w:tcW w:w="1068" w:type="dxa"/>
          </w:tcPr>
          <w:p w14:paraId="7374AEDF"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27F15490" w14:textId="77777777" w:rsidR="008B4059" w:rsidRPr="008B4059" w:rsidRDefault="008B4059" w:rsidP="008B4059">
            <w:r w:rsidRPr="008B4059">
              <w:t>7%</w:t>
            </w:r>
          </w:p>
        </w:tc>
      </w:tr>
      <w:tr w:rsidR="008B4059" w:rsidRPr="008B4059" w14:paraId="13A17E16" w14:textId="77777777" w:rsidTr="008B4059">
        <w:tc>
          <w:tcPr>
            <w:cnfStyle w:val="000010000000" w:firstRow="0" w:lastRow="0" w:firstColumn="0" w:lastColumn="0" w:oddVBand="1" w:evenVBand="0" w:oddHBand="0" w:evenHBand="0" w:firstRowFirstColumn="0" w:firstRowLastColumn="0" w:lastRowFirstColumn="0" w:lastRowLastColumn="0"/>
            <w:tcW w:w="871" w:type="dxa"/>
          </w:tcPr>
          <w:p w14:paraId="46451564"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635281F4" w14:textId="77777777" w:rsidR="008B4059" w:rsidRPr="008B4059" w:rsidRDefault="008B4059" w:rsidP="008B4059">
            <w:r w:rsidRPr="008B4059">
              <w:t>Raporti i të ardhurave të veta ndaj buxhetit</w:t>
            </w:r>
          </w:p>
        </w:tc>
        <w:tc>
          <w:tcPr>
            <w:cnfStyle w:val="000010000000" w:firstRow="0" w:lastRow="0" w:firstColumn="0" w:lastColumn="0" w:oddVBand="1" w:evenVBand="0" w:oddHBand="0" w:evenHBand="0" w:firstRowFirstColumn="0" w:firstRowLastColumn="0" w:lastRowFirstColumn="0" w:lastRowLastColumn="0"/>
            <w:tcW w:w="1193" w:type="dxa"/>
          </w:tcPr>
          <w:p w14:paraId="6F506BAB"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102" w:type="dxa"/>
          </w:tcPr>
          <w:p w14:paraId="7B3F6CE3" w14:textId="77777777" w:rsidR="008B4059" w:rsidRPr="008B4059" w:rsidRDefault="008B4059" w:rsidP="008B4059">
            <w:r w:rsidRPr="008B4059">
              <w:t>10.67</w:t>
            </w:r>
          </w:p>
        </w:tc>
        <w:tc>
          <w:tcPr>
            <w:cnfStyle w:val="000010000000" w:firstRow="0" w:lastRow="0" w:firstColumn="0" w:lastColumn="0" w:oddVBand="1" w:evenVBand="0" w:oddHBand="0" w:evenHBand="0" w:firstRowFirstColumn="0" w:firstRowLastColumn="0" w:lastRowFirstColumn="0" w:lastRowLastColumn="0"/>
            <w:tcW w:w="990" w:type="dxa"/>
          </w:tcPr>
          <w:p w14:paraId="4B4144B7" w14:textId="77777777" w:rsidR="008B4059" w:rsidRPr="008B4059" w:rsidRDefault="008B4059" w:rsidP="008B4059">
            <w:r w:rsidRPr="008B4059">
              <w:t>11.29</w:t>
            </w:r>
          </w:p>
        </w:tc>
        <w:tc>
          <w:tcPr>
            <w:cnfStyle w:val="000001000000" w:firstRow="0" w:lastRow="0" w:firstColumn="0" w:lastColumn="0" w:oddVBand="0" w:evenVBand="1" w:oddHBand="0" w:evenHBand="0" w:firstRowFirstColumn="0" w:firstRowLastColumn="0" w:lastRowFirstColumn="0" w:lastRowLastColumn="0"/>
            <w:tcW w:w="968" w:type="dxa"/>
          </w:tcPr>
          <w:p w14:paraId="21F5EAE3" w14:textId="77777777" w:rsidR="008B4059" w:rsidRPr="008B4059" w:rsidRDefault="008B4059" w:rsidP="008B4059">
            <w:r w:rsidRPr="008B4059">
              <w:t>0.62</w:t>
            </w:r>
          </w:p>
        </w:tc>
        <w:tc>
          <w:tcPr>
            <w:cnfStyle w:val="000010000000" w:firstRow="0" w:lastRow="0" w:firstColumn="0" w:lastColumn="0" w:oddVBand="1" w:evenVBand="0" w:oddHBand="0" w:evenHBand="0" w:firstRowFirstColumn="0" w:firstRowLastColumn="0" w:lastRowFirstColumn="0" w:lastRowLastColumn="0"/>
            <w:tcW w:w="1068" w:type="dxa"/>
          </w:tcPr>
          <w:p w14:paraId="7240C819"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1FB23B81" w14:textId="77777777" w:rsidR="008B4059" w:rsidRPr="008B4059" w:rsidRDefault="008B4059" w:rsidP="008B4059">
            <w:r w:rsidRPr="008B4059">
              <w:t>6%</w:t>
            </w:r>
          </w:p>
        </w:tc>
      </w:tr>
      <w:tr w:rsidR="008B4059" w:rsidRPr="008B4059" w14:paraId="15CE487C"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1" w:type="dxa"/>
          </w:tcPr>
          <w:p w14:paraId="356ECAA4" w14:textId="77777777" w:rsidR="008B4059" w:rsidRPr="008B4059" w:rsidRDefault="008B4059" w:rsidP="008B4059">
            <w:r w:rsidRPr="008B4059">
              <w:lastRenderedPageBreak/>
              <w:t>Tregues</w:t>
            </w:r>
          </w:p>
        </w:tc>
        <w:tc>
          <w:tcPr>
            <w:cnfStyle w:val="000001000000" w:firstRow="0" w:lastRow="0" w:firstColumn="0" w:lastColumn="0" w:oddVBand="0" w:evenVBand="1" w:oddHBand="0" w:evenHBand="0" w:firstRowFirstColumn="0" w:firstRowLastColumn="0" w:lastRowFirstColumn="0" w:lastRowLastColumn="0"/>
            <w:tcW w:w="2135" w:type="dxa"/>
          </w:tcPr>
          <w:p w14:paraId="7660B557" w14:textId="77777777" w:rsidR="008B4059" w:rsidRPr="008B4059" w:rsidRDefault="008B4059" w:rsidP="008B4059">
            <w:r w:rsidRPr="008B4059">
              <w:t>Shkalla e përdorimit të të ardhurave</w:t>
            </w:r>
          </w:p>
        </w:tc>
        <w:tc>
          <w:tcPr>
            <w:cnfStyle w:val="000010000000" w:firstRow="0" w:lastRow="0" w:firstColumn="0" w:lastColumn="0" w:oddVBand="1" w:evenVBand="0" w:oddHBand="0" w:evenHBand="0" w:firstRowFirstColumn="0" w:firstRowLastColumn="0" w:lastRowFirstColumn="0" w:lastRowLastColumn="0"/>
            <w:tcW w:w="1193" w:type="dxa"/>
          </w:tcPr>
          <w:p w14:paraId="7719BA8C"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102" w:type="dxa"/>
          </w:tcPr>
          <w:p w14:paraId="31167516" w14:textId="77777777" w:rsidR="008B4059" w:rsidRPr="008B4059" w:rsidRDefault="008B4059" w:rsidP="008B4059">
            <w:r w:rsidRPr="008B4059">
              <w:t>85.3</w:t>
            </w:r>
          </w:p>
        </w:tc>
        <w:tc>
          <w:tcPr>
            <w:cnfStyle w:val="000010000000" w:firstRow="0" w:lastRow="0" w:firstColumn="0" w:lastColumn="0" w:oddVBand="1" w:evenVBand="0" w:oddHBand="0" w:evenHBand="0" w:firstRowFirstColumn="0" w:firstRowLastColumn="0" w:lastRowFirstColumn="0" w:lastRowLastColumn="0"/>
            <w:tcW w:w="990" w:type="dxa"/>
          </w:tcPr>
          <w:p w14:paraId="459699F2" w14:textId="77777777" w:rsidR="008B4059" w:rsidRPr="008B4059" w:rsidRDefault="008B4059" w:rsidP="008B4059">
            <w:r w:rsidRPr="008B4059">
              <w:t>87.3</w:t>
            </w:r>
          </w:p>
        </w:tc>
        <w:tc>
          <w:tcPr>
            <w:cnfStyle w:val="000001000000" w:firstRow="0" w:lastRow="0" w:firstColumn="0" w:lastColumn="0" w:oddVBand="0" w:evenVBand="1" w:oddHBand="0" w:evenHBand="0" w:firstRowFirstColumn="0" w:firstRowLastColumn="0" w:lastRowFirstColumn="0" w:lastRowLastColumn="0"/>
            <w:tcW w:w="968" w:type="dxa"/>
          </w:tcPr>
          <w:p w14:paraId="3D9CA14C" w14:textId="77777777" w:rsidR="008B4059" w:rsidRPr="008B4059" w:rsidRDefault="008B4059" w:rsidP="008B4059">
            <w:r w:rsidRPr="008B4059">
              <w:t>2.00</w:t>
            </w:r>
          </w:p>
        </w:tc>
        <w:tc>
          <w:tcPr>
            <w:cnfStyle w:val="000010000000" w:firstRow="0" w:lastRow="0" w:firstColumn="0" w:lastColumn="0" w:oddVBand="1" w:evenVBand="0" w:oddHBand="0" w:evenHBand="0" w:firstRowFirstColumn="0" w:firstRowLastColumn="0" w:lastRowFirstColumn="0" w:lastRowLastColumn="0"/>
            <w:tcW w:w="1068" w:type="dxa"/>
          </w:tcPr>
          <w:p w14:paraId="3CE4A5EB"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4169E04A" w14:textId="77777777" w:rsidR="008B4059" w:rsidRPr="008B4059" w:rsidRDefault="008B4059" w:rsidP="008B4059">
            <w:r w:rsidRPr="008B4059">
              <w:t>2%</w:t>
            </w:r>
          </w:p>
        </w:tc>
      </w:tr>
      <w:tr w:rsidR="008B4059" w:rsidRPr="008B4059" w14:paraId="00AC3832" w14:textId="77777777" w:rsidTr="008B4059">
        <w:tc>
          <w:tcPr>
            <w:cnfStyle w:val="000010000000" w:firstRow="0" w:lastRow="0" w:firstColumn="0" w:lastColumn="0" w:oddVBand="1" w:evenVBand="0" w:oddHBand="0" w:evenHBand="0" w:firstRowFirstColumn="0" w:firstRowLastColumn="0" w:lastRowFirstColumn="0" w:lastRowLastColumn="0"/>
            <w:tcW w:w="871" w:type="dxa"/>
          </w:tcPr>
          <w:p w14:paraId="25BF691B"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3B300328" w14:textId="77777777" w:rsidR="008B4059" w:rsidRPr="008B4059" w:rsidRDefault="008B4059" w:rsidP="008B4059">
            <w:r w:rsidRPr="008B4059">
              <w:t>Të ardhurat nga taksa e pasurisë  ne raport me të ardhurat vendore</w:t>
            </w:r>
          </w:p>
        </w:tc>
        <w:tc>
          <w:tcPr>
            <w:cnfStyle w:val="000010000000" w:firstRow="0" w:lastRow="0" w:firstColumn="0" w:lastColumn="0" w:oddVBand="1" w:evenVBand="0" w:oddHBand="0" w:evenHBand="0" w:firstRowFirstColumn="0" w:firstRowLastColumn="0" w:lastRowFirstColumn="0" w:lastRowLastColumn="0"/>
            <w:tcW w:w="1193" w:type="dxa"/>
          </w:tcPr>
          <w:p w14:paraId="3BF5E0E9"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102" w:type="dxa"/>
          </w:tcPr>
          <w:p w14:paraId="62C21A24" w14:textId="77777777" w:rsidR="008B4059" w:rsidRPr="008B4059" w:rsidRDefault="008B4059" w:rsidP="008B4059">
            <w:r w:rsidRPr="008B4059">
              <w:t>10.49</w:t>
            </w:r>
          </w:p>
        </w:tc>
        <w:tc>
          <w:tcPr>
            <w:cnfStyle w:val="000010000000" w:firstRow="0" w:lastRow="0" w:firstColumn="0" w:lastColumn="0" w:oddVBand="1" w:evenVBand="0" w:oddHBand="0" w:evenHBand="0" w:firstRowFirstColumn="0" w:firstRowLastColumn="0" w:lastRowFirstColumn="0" w:lastRowLastColumn="0"/>
            <w:tcW w:w="990" w:type="dxa"/>
          </w:tcPr>
          <w:p w14:paraId="4B71CC91" w14:textId="77777777" w:rsidR="008B4059" w:rsidRPr="008B4059" w:rsidRDefault="008B4059" w:rsidP="008B4059">
            <w:r w:rsidRPr="008B4059">
              <w:t>11.47</w:t>
            </w:r>
          </w:p>
        </w:tc>
        <w:tc>
          <w:tcPr>
            <w:cnfStyle w:val="000001000000" w:firstRow="0" w:lastRow="0" w:firstColumn="0" w:lastColumn="0" w:oddVBand="0" w:evenVBand="1" w:oddHBand="0" w:evenHBand="0" w:firstRowFirstColumn="0" w:firstRowLastColumn="0" w:lastRowFirstColumn="0" w:lastRowLastColumn="0"/>
            <w:tcW w:w="968" w:type="dxa"/>
          </w:tcPr>
          <w:p w14:paraId="67C1A952" w14:textId="77777777" w:rsidR="008B4059" w:rsidRPr="008B4059" w:rsidRDefault="008B4059" w:rsidP="008B4059">
            <w:r w:rsidRPr="008B4059">
              <w:t>0.98</w:t>
            </w:r>
          </w:p>
        </w:tc>
        <w:tc>
          <w:tcPr>
            <w:cnfStyle w:val="000010000000" w:firstRow="0" w:lastRow="0" w:firstColumn="0" w:lastColumn="0" w:oddVBand="1" w:evenVBand="0" w:oddHBand="0" w:evenHBand="0" w:firstRowFirstColumn="0" w:firstRowLastColumn="0" w:lastRowFirstColumn="0" w:lastRowLastColumn="0"/>
            <w:tcW w:w="1068" w:type="dxa"/>
          </w:tcPr>
          <w:p w14:paraId="0B89960B"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79A9C309" w14:textId="77777777" w:rsidR="008B4059" w:rsidRPr="008B4059" w:rsidRDefault="008B4059" w:rsidP="008B4059">
            <w:r w:rsidRPr="008B4059">
              <w:t>9%</w:t>
            </w:r>
          </w:p>
        </w:tc>
      </w:tr>
      <w:tr w:rsidR="008B4059" w:rsidRPr="008B4059" w14:paraId="4222C099"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1" w:type="dxa"/>
          </w:tcPr>
          <w:p w14:paraId="69F47675"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62714B5B" w14:textId="77777777" w:rsidR="008B4059" w:rsidRPr="008B4059" w:rsidRDefault="008B4059" w:rsidP="008B4059">
            <w:r w:rsidRPr="008B4059">
              <w:t>Buxheti i miratuar për frymë</w:t>
            </w:r>
          </w:p>
        </w:tc>
        <w:tc>
          <w:tcPr>
            <w:cnfStyle w:val="000010000000" w:firstRow="0" w:lastRow="0" w:firstColumn="0" w:lastColumn="0" w:oddVBand="1" w:evenVBand="0" w:oddHBand="0" w:evenHBand="0" w:firstRowFirstColumn="0" w:firstRowLastColumn="0" w:lastRowFirstColumn="0" w:lastRowLastColumn="0"/>
            <w:tcW w:w="1193" w:type="dxa"/>
          </w:tcPr>
          <w:p w14:paraId="2F64DA18" w14:textId="77777777" w:rsidR="008B4059" w:rsidRPr="008B4059" w:rsidRDefault="008B4059" w:rsidP="008B4059">
            <w:r w:rsidRPr="008B4059">
              <w:t>leke/person</w:t>
            </w:r>
          </w:p>
        </w:tc>
        <w:tc>
          <w:tcPr>
            <w:cnfStyle w:val="000001000000" w:firstRow="0" w:lastRow="0" w:firstColumn="0" w:lastColumn="0" w:oddVBand="0" w:evenVBand="1" w:oddHBand="0" w:evenHBand="0" w:firstRowFirstColumn="0" w:firstRowLastColumn="0" w:lastRowFirstColumn="0" w:lastRowLastColumn="0"/>
            <w:tcW w:w="1102" w:type="dxa"/>
          </w:tcPr>
          <w:p w14:paraId="4B0FA41C" w14:textId="77777777" w:rsidR="008B4059" w:rsidRPr="008B4059" w:rsidRDefault="008B4059" w:rsidP="008B4059">
            <w:r w:rsidRPr="008B4059">
              <w:t>38752.26</w:t>
            </w:r>
          </w:p>
        </w:tc>
        <w:tc>
          <w:tcPr>
            <w:cnfStyle w:val="000010000000" w:firstRow="0" w:lastRow="0" w:firstColumn="0" w:lastColumn="0" w:oddVBand="1" w:evenVBand="0" w:oddHBand="0" w:evenHBand="0" w:firstRowFirstColumn="0" w:firstRowLastColumn="0" w:lastRowFirstColumn="0" w:lastRowLastColumn="0"/>
            <w:tcW w:w="990" w:type="dxa"/>
          </w:tcPr>
          <w:p w14:paraId="32179466" w14:textId="77777777" w:rsidR="008B4059" w:rsidRPr="008B4059" w:rsidRDefault="008B4059" w:rsidP="008B4059">
            <w:r w:rsidRPr="008B4059">
              <w:t>40135.79</w:t>
            </w:r>
          </w:p>
        </w:tc>
        <w:tc>
          <w:tcPr>
            <w:cnfStyle w:val="000001000000" w:firstRow="0" w:lastRow="0" w:firstColumn="0" w:lastColumn="0" w:oddVBand="0" w:evenVBand="1" w:oddHBand="0" w:evenHBand="0" w:firstRowFirstColumn="0" w:firstRowLastColumn="0" w:lastRowFirstColumn="0" w:lastRowLastColumn="0"/>
            <w:tcW w:w="968" w:type="dxa"/>
          </w:tcPr>
          <w:p w14:paraId="4DA4D8CF" w14:textId="77777777" w:rsidR="008B4059" w:rsidRPr="008B4059" w:rsidRDefault="008B4059" w:rsidP="008B4059">
            <w:r w:rsidRPr="008B4059">
              <w:t>1383.53</w:t>
            </w:r>
          </w:p>
        </w:tc>
        <w:tc>
          <w:tcPr>
            <w:cnfStyle w:val="000010000000" w:firstRow="0" w:lastRow="0" w:firstColumn="0" w:lastColumn="0" w:oddVBand="1" w:evenVBand="0" w:oddHBand="0" w:evenHBand="0" w:firstRowFirstColumn="0" w:firstRowLastColumn="0" w:lastRowFirstColumn="0" w:lastRowLastColumn="0"/>
            <w:tcW w:w="1068" w:type="dxa"/>
          </w:tcPr>
          <w:p w14:paraId="481E492D"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45DCC949" w14:textId="77777777" w:rsidR="008B4059" w:rsidRPr="008B4059" w:rsidRDefault="008B4059" w:rsidP="008B4059">
            <w:r w:rsidRPr="008B4059">
              <w:t>4%</w:t>
            </w:r>
          </w:p>
        </w:tc>
      </w:tr>
      <w:tr w:rsidR="008B4059" w:rsidRPr="008B4059" w14:paraId="290A486D" w14:textId="77777777" w:rsidTr="008B4059">
        <w:tc>
          <w:tcPr>
            <w:cnfStyle w:val="000010000000" w:firstRow="0" w:lastRow="0" w:firstColumn="0" w:lastColumn="0" w:oddVBand="1" w:evenVBand="0" w:oddHBand="0" w:evenHBand="0" w:firstRowFirstColumn="0" w:firstRowLastColumn="0" w:lastRowFirstColumn="0" w:lastRowLastColumn="0"/>
            <w:tcW w:w="871" w:type="dxa"/>
          </w:tcPr>
          <w:p w14:paraId="4A438792"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1BB4CBA6" w14:textId="77777777" w:rsidR="008B4059" w:rsidRPr="008B4059" w:rsidRDefault="008B4059" w:rsidP="008B4059">
            <w:r w:rsidRPr="008B4059">
              <w:t>Shkalla e ekzekutimit të buxhetit</w:t>
            </w:r>
          </w:p>
        </w:tc>
        <w:tc>
          <w:tcPr>
            <w:cnfStyle w:val="000010000000" w:firstRow="0" w:lastRow="0" w:firstColumn="0" w:lastColumn="0" w:oddVBand="1" w:evenVBand="0" w:oddHBand="0" w:evenHBand="0" w:firstRowFirstColumn="0" w:firstRowLastColumn="0" w:lastRowFirstColumn="0" w:lastRowLastColumn="0"/>
            <w:tcW w:w="1193" w:type="dxa"/>
          </w:tcPr>
          <w:p w14:paraId="01F57075"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102" w:type="dxa"/>
          </w:tcPr>
          <w:p w14:paraId="3FE7E11E" w14:textId="77777777" w:rsidR="008B4059" w:rsidRPr="008B4059" w:rsidRDefault="008B4059" w:rsidP="008B4059">
            <w:r w:rsidRPr="008B4059">
              <w:t>85.37</w:t>
            </w:r>
          </w:p>
        </w:tc>
        <w:tc>
          <w:tcPr>
            <w:cnfStyle w:val="000010000000" w:firstRow="0" w:lastRow="0" w:firstColumn="0" w:lastColumn="0" w:oddVBand="1" w:evenVBand="0" w:oddHBand="0" w:evenHBand="0" w:firstRowFirstColumn="0" w:firstRowLastColumn="0" w:lastRowFirstColumn="0" w:lastRowLastColumn="0"/>
            <w:tcW w:w="990" w:type="dxa"/>
          </w:tcPr>
          <w:p w14:paraId="3DB4009C" w14:textId="77777777" w:rsidR="008B4059" w:rsidRPr="008B4059" w:rsidRDefault="008B4059" w:rsidP="008B4059">
            <w:r w:rsidRPr="008B4059">
              <w:t>87.37</w:t>
            </w:r>
          </w:p>
        </w:tc>
        <w:tc>
          <w:tcPr>
            <w:cnfStyle w:val="000001000000" w:firstRow="0" w:lastRow="0" w:firstColumn="0" w:lastColumn="0" w:oddVBand="0" w:evenVBand="1" w:oddHBand="0" w:evenHBand="0" w:firstRowFirstColumn="0" w:firstRowLastColumn="0" w:lastRowFirstColumn="0" w:lastRowLastColumn="0"/>
            <w:tcW w:w="968" w:type="dxa"/>
          </w:tcPr>
          <w:p w14:paraId="3D8840CE" w14:textId="77777777" w:rsidR="008B4059" w:rsidRPr="008B4059" w:rsidRDefault="008B4059" w:rsidP="008B4059">
            <w:r w:rsidRPr="008B4059">
              <w:t>2.00</w:t>
            </w:r>
          </w:p>
        </w:tc>
        <w:tc>
          <w:tcPr>
            <w:cnfStyle w:val="000010000000" w:firstRow="0" w:lastRow="0" w:firstColumn="0" w:lastColumn="0" w:oddVBand="1" w:evenVBand="0" w:oddHBand="0" w:evenHBand="0" w:firstRowFirstColumn="0" w:firstRowLastColumn="0" w:lastRowFirstColumn="0" w:lastRowLastColumn="0"/>
            <w:tcW w:w="1068" w:type="dxa"/>
          </w:tcPr>
          <w:p w14:paraId="2F2AFA66"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32BD73A5" w14:textId="77777777" w:rsidR="008B4059" w:rsidRPr="008B4059" w:rsidRDefault="008B4059" w:rsidP="008B4059">
            <w:r w:rsidRPr="008B4059">
              <w:t>2%</w:t>
            </w:r>
          </w:p>
        </w:tc>
      </w:tr>
      <w:tr w:rsidR="008B4059" w:rsidRPr="008B4059" w14:paraId="32BAE453"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1" w:type="dxa"/>
          </w:tcPr>
          <w:p w14:paraId="0A893C04"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4DD024B1" w14:textId="77777777" w:rsidR="008B4059" w:rsidRPr="008B4059" w:rsidRDefault="008B4059" w:rsidP="008B4059">
            <w:r w:rsidRPr="008B4059">
              <w:t>Investime për frymë</w:t>
            </w:r>
          </w:p>
        </w:tc>
        <w:tc>
          <w:tcPr>
            <w:cnfStyle w:val="000010000000" w:firstRow="0" w:lastRow="0" w:firstColumn="0" w:lastColumn="0" w:oddVBand="1" w:evenVBand="0" w:oddHBand="0" w:evenHBand="0" w:firstRowFirstColumn="0" w:firstRowLastColumn="0" w:lastRowFirstColumn="0" w:lastRowLastColumn="0"/>
            <w:tcW w:w="1193" w:type="dxa"/>
          </w:tcPr>
          <w:p w14:paraId="451C7FD4" w14:textId="77777777" w:rsidR="008B4059" w:rsidRPr="008B4059" w:rsidRDefault="008B4059" w:rsidP="008B4059">
            <w:r w:rsidRPr="008B4059">
              <w:t>leke/person</w:t>
            </w:r>
          </w:p>
        </w:tc>
        <w:tc>
          <w:tcPr>
            <w:cnfStyle w:val="000001000000" w:firstRow="0" w:lastRow="0" w:firstColumn="0" w:lastColumn="0" w:oddVBand="0" w:evenVBand="1" w:oddHBand="0" w:evenHBand="0" w:firstRowFirstColumn="0" w:firstRowLastColumn="0" w:lastRowFirstColumn="0" w:lastRowLastColumn="0"/>
            <w:tcW w:w="1102" w:type="dxa"/>
          </w:tcPr>
          <w:p w14:paraId="7160C693" w14:textId="77777777" w:rsidR="008B4059" w:rsidRPr="008B4059" w:rsidRDefault="008B4059" w:rsidP="008B4059">
            <w:r w:rsidRPr="008B4059">
              <w:t>9584.12</w:t>
            </w:r>
          </w:p>
        </w:tc>
        <w:tc>
          <w:tcPr>
            <w:cnfStyle w:val="000010000000" w:firstRow="0" w:lastRow="0" w:firstColumn="0" w:lastColumn="0" w:oddVBand="1" w:evenVBand="0" w:oddHBand="0" w:evenHBand="0" w:firstRowFirstColumn="0" w:firstRowLastColumn="0" w:lastRowFirstColumn="0" w:lastRowLastColumn="0"/>
            <w:tcW w:w="990" w:type="dxa"/>
          </w:tcPr>
          <w:p w14:paraId="28AED816" w14:textId="77777777" w:rsidR="008B4059" w:rsidRPr="008B4059" w:rsidRDefault="008B4059" w:rsidP="008B4059">
            <w:r w:rsidRPr="008B4059">
              <w:t>8700.65</w:t>
            </w:r>
          </w:p>
        </w:tc>
        <w:tc>
          <w:tcPr>
            <w:cnfStyle w:val="000001000000" w:firstRow="0" w:lastRow="0" w:firstColumn="0" w:lastColumn="0" w:oddVBand="0" w:evenVBand="1" w:oddHBand="0" w:evenHBand="0" w:firstRowFirstColumn="0" w:firstRowLastColumn="0" w:lastRowFirstColumn="0" w:lastRowLastColumn="0"/>
            <w:tcW w:w="968" w:type="dxa"/>
          </w:tcPr>
          <w:p w14:paraId="56A48002" w14:textId="77777777" w:rsidR="008B4059" w:rsidRPr="008B4059" w:rsidRDefault="008B4059" w:rsidP="008B4059">
            <w:r w:rsidRPr="008B4059">
              <w:t>-883.47</w:t>
            </w:r>
          </w:p>
        </w:tc>
        <w:tc>
          <w:tcPr>
            <w:cnfStyle w:val="000010000000" w:firstRow="0" w:lastRow="0" w:firstColumn="0" w:lastColumn="0" w:oddVBand="1" w:evenVBand="0" w:oddHBand="0" w:evenHBand="0" w:firstRowFirstColumn="0" w:firstRowLastColumn="0" w:lastRowFirstColumn="0" w:lastRowLastColumn="0"/>
            <w:tcW w:w="1068" w:type="dxa"/>
          </w:tcPr>
          <w:p w14:paraId="7FCFB985"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674DE79A" w14:textId="77777777" w:rsidR="008B4059" w:rsidRPr="008B4059" w:rsidRDefault="008B4059" w:rsidP="008B4059">
            <w:r w:rsidRPr="008B4059">
              <w:t>-9%</w:t>
            </w:r>
          </w:p>
        </w:tc>
      </w:tr>
      <w:tr w:rsidR="008B4059" w:rsidRPr="008B4059" w14:paraId="3AB2C5A1" w14:textId="77777777" w:rsidTr="008B4059">
        <w:tc>
          <w:tcPr>
            <w:cnfStyle w:val="000010000000" w:firstRow="0" w:lastRow="0" w:firstColumn="0" w:lastColumn="0" w:oddVBand="1" w:evenVBand="0" w:oddHBand="0" w:evenHBand="0" w:firstRowFirstColumn="0" w:firstRowLastColumn="0" w:lastRowFirstColumn="0" w:lastRowLastColumn="0"/>
            <w:tcW w:w="871" w:type="dxa"/>
          </w:tcPr>
          <w:p w14:paraId="46D614C6"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1DE7DADB" w14:textId="77777777" w:rsidR="008B4059" w:rsidRPr="008B4059" w:rsidRDefault="008B4059" w:rsidP="008B4059">
            <w:r w:rsidRPr="008B4059">
              <w:t>Pesha e investimeve në buxhet</w:t>
            </w:r>
          </w:p>
        </w:tc>
        <w:tc>
          <w:tcPr>
            <w:cnfStyle w:val="000010000000" w:firstRow="0" w:lastRow="0" w:firstColumn="0" w:lastColumn="0" w:oddVBand="1" w:evenVBand="0" w:oddHBand="0" w:evenHBand="0" w:firstRowFirstColumn="0" w:firstRowLastColumn="0" w:lastRowFirstColumn="0" w:lastRowLastColumn="0"/>
            <w:tcW w:w="1193" w:type="dxa"/>
          </w:tcPr>
          <w:p w14:paraId="62C3BEC0"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102" w:type="dxa"/>
          </w:tcPr>
          <w:p w14:paraId="0A79B8A0" w14:textId="77777777" w:rsidR="008B4059" w:rsidRPr="008B4059" w:rsidRDefault="008B4059" w:rsidP="008B4059">
            <w:r w:rsidRPr="008B4059">
              <w:t>28.97</w:t>
            </w:r>
          </w:p>
        </w:tc>
        <w:tc>
          <w:tcPr>
            <w:cnfStyle w:val="000010000000" w:firstRow="0" w:lastRow="0" w:firstColumn="0" w:lastColumn="0" w:oddVBand="1" w:evenVBand="0" w:oddHBand="0" w:evenHBand="0" w:firstRowFirstColumn="0" w:firstRowLastColumn="0" w:lastRowFirstColumn="0" w:lastRowLastColumn="0"/>
            <w:tcW w:w="990" w:type="dxa"/>
          </w:tcPr>
          <w:p w14:paraId="7AAC82AD" w14:textId="77777777" w:rsidR="008B4059" w:rsidRPr="008B4059" w:rsidRDefault="008B4059" w:rsidP="008B4059">
            <w:r w:rsidRPr="008B4059">
              <w:t>24.81</w:t>
            </w:r>
          </w:p>
        </w:tc>
        <w:tc>
          <w:tcPr>
            <w:cnfStyle w:val="000001000000" w:firstRow="0" w:lastRow="0" w:firstColumn="0" w:lastColumn="0" w:oddVBand="0" w:evenVBand="1" w:oddHBand="0" w:evenHBand="0" w:firstRowFirstColumn="0" w:firstRowLastColumn="0" w:lastRowFirstColumn="0" w:lastRowLastColumn="0"/>
            <w:tcW w:w="968" w:type="dxa"/>
          </w:tcPr>
          <w:p w14:paraId="471E1BA9" w14:textId="77777777" w:rsidR="008B4059" w:rsidRPr="008B4059" w:rsidRDefault="008B4059" w:rsidP="008B4059">
            <w:r w:rsidRPr="008B4059">
              <w:t>-4.16</w:t>
            </w:r>
          </w:p>
        </w:tc>
        <w:tc>
          <w:tcPr>
            <w:cnfStyle w:val="000010000000" w:firstRow="0" w:lastRow="0" w:firstColumn="0" w:lastColumn="0" w:oddVBand="1" w:evenVBand="0" w:oddHBand="0" w:evenHBand="0" w:firstRowFirstColumn="0" w:firstRowLastColumn="0" w:lastRowFirstColumn="0" w:lastRowLastColumn="0"/>
            <w:tcW w:w="1068" w:type="dxa"/>
          </w:tcPr>
          <w:p w14:paraId="69180320"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0594DB6E" w14:textId="77777777" w:rsidR="008B4059" w:rsidRPr="008B4059" w:rsidRDefault="008B4059" w:rsidP="008B4059">
            <w:r w:rsidRPr="008B4059">
              <w:t>-14%</w:t>
            </w:r>
          </w:p>
        </w:tc>
      </w:tr>
      <w:tr w:rsidR="008B4059" w:rsidRPr="008B4059" w14:paraId="224423AB"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1" w:type="dxa"/>
          </w:tcPr>
          <w:p w14:paraId="775493F1"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02BC7852" w14:textId="77777777" w:rsidR="008B4059" w:rsidRPr="008B4059" w:rsidRDefault="008B4059" w:rsidP="008B4059">
            <w:r w:rsidRPr="008B4059">
              <w:t>Pesha e detyrimeve financiare të papaguara ndaj të tretëve</w:t>
            </w:r>
          </w:p>
        </w:tc>
        <w:tc>
          <w:tcPr>
            <w:cnfStyle w:val="000010000000" w:firstRow="0" w:lastRow="0" w:firstColumn="0" w:lastColumn="0" w:oddVBand="1" w:evenVBand="0" w:oddHBand="0" w:evenHBand="0" w:firstRowFirstColumn="0" w:firstRowLastColumn="0" w:lastRowFirstColumn="0" w:lastRowLastColumn="0"/>
            <w:tcW w:w="1193" w:type="dxa"/>
          </w:tcPr>
          <w:p w14:paraId="13608755"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102" w:type="dxa"/>
          </w:tcPr>
          <w:p w14:paraId="79347B6E" w14:textId="77777777" w:rsidR="008B4059" w:rsidRPr="008B4059" w:rsidRDefault="008B4059" w:rsidP="008B4059">
            <w:r w:rsidRPr="008B4059">
              <w:t>0.14</w:t>
            </w:r>
          </w:p>
        </w:tc>
        <w:tc>
          <w:tcPr>
            <w:cnfStyle w:val="000010000000" w:firstRow="0" w:lastRow="0" w:firstColumn="0" w:lastColumn="0" w:oddVBand="1" w:evenVBand="0" w:oddHBand="0" w:evenHBand="0" w:firstRowFirstColumn="0" w:firstRowLastColumn="0" w:lastRowFirstColumn="0" w:lastRowLastColumn="0"/>
            <w:tcW w:w="990" w:type="dxa"/>
          </w:tcPr>
          <w:p w14:paraId="6D701A9A" w14:textId="77777777" w:rsidR="008B4059" w:rsidRPr="008B4059" w:rsidRDefault="008B4059" w:rsidP="008B4059">
            <w:r w:rsidRPr="008B4059">
              <w:t>0.41</w:t>
            </w:r>
          </w:p>
        </w:tc>
        <w:tc>
          <w:tcPr>
            <w:cnfStyle w:val="000001000000" w:firstRow="0" w:lastRow="0" w:firstColumn="0" w:lastColumn="0" w:oddVBand="0" w:evenVBand="1" w:oddHBand="0" w:evenHBand="0" w:firstRowFirstColumn="0" w:firstRowLastColumn="0" w:lastRowFirstColumn="0" w:lastRowLastColumn="0"/>
            <w:tcW w:w="968" w:type="dxa"/>
          </w:tcPr>
          <w:p w14:paraId="00B978AA" w14:textId="77777777" w:rsidR="008B4059" w:rsidRPr="008B4059" w:rsidRDefault="008B4059" w:rsidP="008B4059">
            <w:r w:rsidRPr="008B4059">
              <w:t>0.26</w:t>
            </w:r>
          </w:p>
        </w:tc>
        <w:tc>
          <w:tcPr>
            <w:cnfStyle w:val="000010000000" w:firstRow="0" w:lastRow="0" w:firstColumn="0" w:lastColumn="0" w:oddVBand="1" w:evenVBand="0" w:oddHBand="0" w:evenHBand="0" w:firstRowFirstColumn="0" w:firstRowLastColumn="0" w:lastRowFirstColumn="0" w:lastRowLastColumn="0"/>
            <w:tcW w:w="1068" w:type="dxa"/>
          </w:tcPr>
          <w:p w14:paraId="6656C8D4"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2070CBB8" w14:textId="77777777" w:rsidR="008B4059" w:rsidRPr="008B4059" w:rsidRDefault="008B4059" w:rsidP="008B4059">
            <w:r w:rsidRPr="008B4059">
              <w:t>183%</w:t>
            </w:r>
          </w:p>
        </w:tc>
      </w:tr>
      <w:tr w:rsidR="008B4059" w:rsidRPr="008B4059" w14:paraId="53FA209E" w14:textId="77777777" w:rsidTr="008B4059">
        <w:tc>
          <w:tcPr>
            <w:cnfStyle w:val="000010000000" w:firstRow="0" w:lastRow="0" w:firstColumn="0" w:lastColumn="0" w:oddVBand="1" w:evenVBand="0" w:oddHBand="0" w:evenHBand="0" w:firstRowFirstColumn="0" w:firstRowLastColumn="0" w:lastRowFirstColumn="0" w:lastRowLastColumn="0"/>
            <w:tcW w:w="871" w:type="dxa"/>
          </w:tcPr>
          <w:p w14:paraId="2B191816"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7CBDC9F9" w14:textId="77777777" w:rsidR="008B4059" w:rsidRPr="008B4059" w:rsidRDefault="008B4059" w:rsidP="008B4059">
            <w:r w:rsidRPr="008B4059">
              <w:t>Pesha e personelit në buxhet</w:t>
            </w:r>
          </w:p>
        </w:tc>
        <w:tc>
          <w:tcPr>
            <w:cnfStyle w:val="000010000000" w:firstRow="0" w:lastRow="0" w:firstColumn="0" w:lastColumn="0" w:oddVBand="1" w:evenVBand="0" w:oddHBand="0" w:evenHBand="0" w:firstRowFirstColumn="0" w:firstRowLastColumn="0" w:lastRowFirstColumn="0" w:lastRowLastColumn="0"/>
            <w:tcW w:w="1193" w:type="dxa"/>
          </w:tcPr>
          <w:p w14:paraId="17FA4853"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102" w:type="dxa"/>
          </w:tcPr>
          <w:p w14:paraId="77B55D29" w14:textId="77777777" w:rsidR="008B4059" w:rsidRPr="008B4059" w:rsidRDefault="008B4059" w:rsidP="008B4059">
            <w:r w:rsidRPr="008B4059">
              <w:t>22.26</w:t>
            </w:r>
          </w:p>
        </w:tc>
        <w:tc>
          <w:tcPr>
            <w:cnfStyle w:val="000010000000" w:firstRow="0" w:lastRow="0" w:firstColumn="0" w:lastColumn="0" w:oddVBand="1" w:evenVBand="0" w:oddHBand="0" w:evenHBand="0" w:firstRowFirstColumn="0" w:firstRowLastColumn="0" w:lastRowFirstColumn="0" w:lastRowLastColumn="0"/>
            <w:tcW w:w="990" w:type="dxa"/>
          </w:tcPr>
          <w:p w14:paraId="03C3D2E7" w14:textId="77777777" w:rsidR="008B4059" w:rsidRPr="008B4059" w:rsidRDefault="008B4059" w:rsidP="008B4059">
            <w:r w:rsidRPr="008B4059">
              <w:t>24.96</w:t>
            </w:r>
          </w:p>
        </w:tc>
        <w:tc>
          <w:tcPr>
            <w:cnfStyle w:val="000001000000" w:firstRow="0" w:lastRow="0" w:firstColumn="0" w:lastColumn="0" w:oddVBand="0" w:evenVBand="1" w:oddHBand="0" w:evenHBand="0" w:firstRowFirstColumn="0" w:firstRowLastColumn="0" w:lastRowFirstColumn="0" w:lastRowLastColumn="0"/>
            <w:tcW w:w="968" w:type="dxa"/>
          </w:tcPr>
          <w:p w14:paraId="0A7E95B4" w14:textId="77777777" w:rsidR="008B4059" w:rsidRPr="008B4059" w:rsidRDefault="008B4059" w:rsidP="008B4059">
            <w:r w:rsidRPr="008B4059">
              <w:t>2.70</w:t>
            </w:r>
          </w:p>
        </w:tc>
        <w:tc>
          <w:tcPr>
            <w:cnfStyle w:val="000010000000" w:firstRow="0" w:lastRow="0" w:firstColumn="0" w:lastColumn="0" w:oddVBand="1" w:evenVBand="0" w:oddHBand="0" w:evenHBand="0" w:firstRowFirstColumn="0" w:firstRowLastColumn="0" w:lastRowFirstColumn="0" w:lastRowLastColumn="0"/>
            <w:tcW w:w="1068" w:type="dxa"/>
          </w:tcPr>
          <w:p w14:paraId="3541CD31"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4196DF1D" w14:textId="77777777" w:rsidR="008B4059" w:rsidRPr="008B4059" w:rsidRDefault="008B4059" w:rsidP="008B4059">
            <w:r w:rsidRPr="008B4059">
              <w:t>12%</w:t>
            </w:r>
          </w:p>
        </w:tc>
      </w:tr>
      <w:tr w:rsidR="008B4059" w:rsidRPr="008B4059" w14:paraId="72466D57"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1" w:type="dxa"/>
          </w:tcPr>
          <w:p w14:paraId="3DC2395F" w14:textId="77777777" w:rsidR="008B4059" w:rsidRPr="008B4059" w:rsidRDefault="008B4059" w:rsidP="008B4059">
            <w:r w:rsidRPr="008B4059">
              <w:t>Tregues</w:t>
            </w:r>
          </w:p>
        </w:tc>
        <w:tc>
          <w:tcPr>
            <w:cnfStyle w:val="000001000000" w:firstRow="0" w:lastRow="0" w:firstColumn="0" w:lastColumn="0" w:oddVBand="0" w:evenVBand="1" w:oddHBand="0" w:evenHBand="0" w:firstRowFirstColumn="0" w:firstRowLastColumn="0" w:lastRowFirstColumn="0" w:lastRowLastColumn="0"/>
            <w:tcW w:w="2135" w:type="dxa"/>
          </w:tcPr>
          <w:p w14:paraId="5F1FC189" w14:textId="77777777" w:rsidR="008B4059" w:rsidRPr="008B4059" w:rsidRDefault="008B4059" w:rsidP="008B4059">
            <w:r w:rsidRPr="008B4059">
              <w:t>Pesha e shpenzimeve operacionale në buxhet</w:t>
            </w:r>
          </w:p>
        </w:tc>
        <w:tc>
          <w:tcPr>
            <w:cnfStyle w:val="000010000000" w:firstRow="0" w:lastRow="0" w:firstColumn="0" w:lastColumn="0" w:oddVBand="1" w:evenVBand="0" w:oddHBand="0" w:evenHBand="0" w:firstRowFirstColumn="0" w:firstRowLastColumn="0" w:lastRowFirstColumn="0" w:lastRowLastColumn="0"/>
            <w:tcW w:w="1193" w:type="dxa"/>
          </w:tcPr>
          <w:p w14:paraId="60507E4F"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102" w:type="dxa"/>
          </w:tcPr>
          <w:p w14:paraId="0B0A78DD" w14:textId="77777777" w:rsidR="008B4059" w:rsidRPr="008B4059" w:rsidRDefault="008B4059" w:rsidP="008B4059">
            <w:r w:rsidRPr="008B4059">
              <w:t>48.77</w:t>
            </w:r>
          </w:p>
        </w:tc>
        <w:tc>
          <w:tcPr>
            <w:cnfStyle w:val="000010000000" w:firstRow="0" w:lastRow="0" w:firstColumn="0" w:lastColumn="0" w:oddVBand="1" w:evenVBand="0" w:oddHBand="0" w:evenHBand="0" w:firstRowFirstColumn="0" w:firstRowLastColumn="0" w:lastRowFirstColumn="0" w:lastRowLastColumn="0"/>
            <w:tcW w:w="990" w:type="dxa"/>
          </w:tcPr>
          <w:p w14:paraId="2BCB79CC" w14:textId="77777777" w:rsidR="008B4059" w:rsidRPr="008B4059" w:rsidRDefault="008B4059" w:rsidP="008B4059">
            <w:r w:rsidRPr="008B4059">
              <w:t>50.23</w:t>
            </w:r>
          </w:p>
        </w:tc>
        <w:tc>
          <w:tcPr>
            <w:cnfStyle w:val="000001000000" w:firstRow="0" w:lastRow="0" w:firstColumn="0" w:lastColumn="0" w:oddVBand="0" w:evenVBand="1" w:oddHBand="0" w:evenHBand="0" w:firstRowFirstColumn="0" w:firstRowLastColumn="0" w:lastRowFirstColumn="0" w:lastRowLastColumn="0"/>
            <w:tcW w:w="968" w:type="dxa"/>
          </w:tcPr>
          <w:p w14:paraId="380C53D6" w14:textId="77777777" w:rsidR="008B4059" w:rsidRPr="008B4059" w:rsidRDefault="008B4059" w:rsidP="008B4059">
            <w:r w:rsidRPr="008B4059">
              <w:t>1.46</w:t>
            </w:r>
          </w:p>
        </w:tc>
        <w:tc>
          <w:tcPr>
            <w:cnfStyle w:val="000010000000" w:firstRow="0" w:lastRow="0" w:firstColumn="0" w:lastColumn="0" w:oddVBand="1" w:evenVBand="0" w:oddHBand="0" w:evenHBand="0" w:firstRowFirstColumn="0" w:firstRowLastColumn="0" w:lastRowFirstColumn="0" w:lastRowLastColumn="0"/>
            <w:tcW w:w="1068" w:type="dxa"/>
          </w:tcPr>
          <w:p w14:paraId="4BF91295" w14:textId="77777777" w:rsidR="008B4059" w:rsidRPr="008B4059" w:rsidRDefault="008B4059" w:rsidP="008B4059">
            <w:r w:rsidRPr="008B4059">
              <w:t>↑</w:t>
            </w:r>
          </w:p>
        </w:tc>
        <w:tc>
          <w:tcPr>
            <w:cnfStyle w:val="000001000000" w:firstRow="0" w:lastRow="0" w:firstColumn="0" w:lastColumn="0" w:oddVBand="0" w:evenVBand="1" w:oddHBand="0" w:evenHBand="0" w:firstRowFirstColumn="0" w:firstRowLastColumn="0" w:lastRowFirstColumn="0" w:lastRowLastColumn="0"/>
            <w:tcW w:w="1566" w:type="dxa"/>
          </w:tcPr>
          <w:p w14:paraId="355E0083" w14:textId="77777777" w:rsidR="008B4059" w:rsidRPr="008B4059" w:rsidRDefault="008B4059" w:rsidP="008B4059">
            <w:r w:rsidRPr="008B4059">
              <w:t>3%</w:t>
            </w:r>
          </w:p>
        </w:tc>
      </w:tr>
    </w:tbl>
    <w:p w14:paraId="0580FD43" w14:textId="77777777" w:rsidR="008B4059" w:rsidRPr="00851420" w:rsidRDefault="008B4059" w:rsidP="008B4059">
      <w:pPr>
        <w:pStyle w:val="Heading6"/>
      </w:pPr>
      <w:r w:rsidRPr="00851420">
        <w:t>B) Lista e detajuar (e përmbledhur)</w:t>
      </w:r>
    </w:p>
    <w:tbl>
      <w:tblPr>
        <w:tblStyle w:val="ListTable5DarkAccent3"/>
        <w:tblW w:w="0" w:type="auto"/>
        <w:tblLook w:val="0000" w:firstRow="0" w:lastRow="0" w:firstColumn="0" w:lastColumn="0" w:noHBand="0" w:noVBand="0"/>
      </w:tblPr>
      <w:tblGrid>
        <w:gridCol w:w="3355"/>
        <w:gridCol w:w="1179"/>
        <w:gridCol w:w="1179"/>
        <w:gridCol w:w="1369"/>
      </w:tblGrid>
      <w:tr w:rsidR="008B4059" w:rsidRPr="008B4059" w14:paraId="53DC9656"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D9E4854" w14:textId="77777777" w:rsidR="008B4059" w:rsidRPr="008B4059" w:rsidRDefault="008B4059" w:rsidP="008B4059">
            <w:r w:rsidRPr="008B4059">
              <w:t>E dhëna</w:t>
            </w:r>
          </w:p>
        </w:tc>
        <w:tc>
          <w:tcPr>
            <w:cnfStyle w:val="000001000000" w:firstRow="0" w:lastRow="0" w:firstColumn="0" w:lastColumn="0" w:oddVBand="0" w:evenVBand="1" w:oddHBand="0" w:evenHBand="0" w:firstRowFirstColumn="0" w:firstRowLastColumn="0" w:lastRowFirstColumn="0" w:lastRowLastColumn="0"/>
            <w:tcW w:w="0" w:type="auto"/>
          </w:tcPr>
          <w:p w14:paraId="1C49A77E" w14:textId="77777777" w:rsidR="008B4059" w:rsidRPr="008B4059" w:rsidRDefault="008B4059" w:rsidP="008B4059">
            <w:r w:rsidRPr="008B4059">
              <w:t>Vlera 2023</w:t>
            </w:r>
          </w:p>
        </w:tc>
        <w:tc>
          <w:tcPr>
            <w:cnfStyle w:val="000010000000" w:firstRow="0" w:lastRow="0" w:firstColumn="0" w:lastColumn="0" w:oddVBand="1" w:evenVBand="0" w:oddHBand="0" w:evenHBand="0" w:firstRowFirstColumn="0" w:firstRowLastColumn="0" w:lastRowFirstColumn="0" w:lastRowLastColumn="0"/>
            <w:tcW w:w="0" w:type="auto"/>
          </w:tcPr>
          <w:p w14:paraId="50AB529B" w14:textId="77777777" w:rsidR="008B4059" w:rsidRPr="008B4059" w:rsidRDefault="008B4059" w:rsidP="008B4059">
            <w:r w:rsidRPr="008B4059">
              <w:t>Vlera 2024</w:t>
            </w:r>
          </w:p>
        </w:tc>
        <w:tc>
          <w:tcPr>
            <w:cnfStyle w:val="000001000000" w:firstRow="0" w:lastRow="0" w:firstColumn="0" w:lastColumn="0" w:oddVBand="0" w:evenVBand="1" w:oddHBand="0" w:evenHBand="0" w:firstRowFirstColumn="0" w:firstRowLastColumn="0" w:lastRowFirstColumn="0" w:lastRowLastColumn="0"/>
            <w:tcW w:w="0" w:type="auto"/>
          </w:tcPr>
          <w:p w14:paraId="578CE93C" w14:textId="77777777" w:rsidR="008B4059" w:rsidRPr="008B4059" w:rsidRDefault="008B4059" w:rsidP="008B4059">
            <w:r w:rsidRPr="008B4059">
              <w:t>Njësia Matëse</w:t>
            </w:r>
          </w:p>
        </w:tc>
      </w:tr>
      <w:tr w:rsidR="008B4059" w:rsidRPr="008B4059" w14:paraId="06D0B0D2" w14:textId="77777777" w:rsidTr="008B4059">
        <w:tc>
          <w:tcPr>
            <w:cnfStyle w:val="000010000000" w:firstRow="0" w:lastRow="0" w:firstColumn="0" w:lastColumn="0" w:oddVBand="1" w:evenVBand="0" w:oddHBand="0" w:evenHBand="0" w:firstRowFirstColumn="0" w:firstRowLastColumn="0" w:lastRowFirstColumn="0" w:lastRowLastColumn="0"/>
            <w:tcW w:w="0" w:type="auto"/>
          </w:tcPr>
          <w:p w14:paraId="50803E87" w14:textId="77777777" w:rsidR="008B4059" w:rsidRPr="008B4059" w:rsidRDefault="008B4059" w:rsidP="008B4059">
            <w:r w:rsidRPr="008B4059">
              <w:t xml:space="preserve">Të ardhurat e veta, fakt </w:t>
            </w:r>
          </w:p>
        </w:tc>
        <w:tc>
          <w:tcPr>
            <w:cnfStyle w:val="000001000000" w:firstRow="0" w:lastRow="0" w:firstColumn="0" w:lastColumn="0" w:oddVBand="0" w:evenVBand="1" w:oddHBand="0" w:evenHBand="0" w:firstRowFirstColumn="0" w:firstRowLastColumn="0" w:lastRowFirstColumn="0" w:lastRowLastColumn="0"/>
            <w:tcW w:w="0" w:type="auto"/>
          </w:tcPr>
          <w:p w14:paraId="62EBA05A" w14:textId="77777777" w:rsidR="008B4059" w:rsidRPr="008B4059" w:rsidRDefault="008B4059" w:rsidP="008B4059">
            <w:r w:rsidRPr="008B4059">
              <w:t>177776.00</w:t>
            </w:r>
          </w:p>
        </w:tc>
        <w:tc>
          <w:tcPr>
            <w:cnfStyle w:val="000010000000" w:firstRow="0" w:lastRow="0" w:firstColumn="0" w:lastColumn="0" w:oddVBand="1" w:evenVBand="0" w:oddHBand="0" w:evenHBand="0" w:firstRowFirstColumn="0" w:firstRowLastColumn="0" w:lastRowFirstColumn="0" w:lastRowLastColumn="0"/>
            <w:tcW w:w="0" w:type="auto"/>
          </w:tcPr>
          <w:p w14:paraId="04737856" w14:textId="77777777" w:rsidR="008B4059" w:rsidRPr="008B4059" w:rsidRDefault="008B4059" w:rsidP="008B4059">
            <w:r w:rsidRPr="008B4059">
              <w:t>195129.00</w:t>
            </w:r>
          </w:p>
        </w:tc>
        <w:tc>
          <w:tcPr>
            <w:cnfStyle w:val="000001000000" w:firstRow="0" w:lastRow="0" w:firstColumn="0" w:lastColumn="0" w:oddVBand="0" w:evenVBand="1" w:oddHBand="0" w:evenHBand="0" w:firstRowFirstColumn="0" w:firstRowLastColumn="0" w:lastRowFirstColumn="0" w:lastRowLastColumn="0"/>
            <w:tcW w:w="0" w:type="auto"/>
          </w:tcPr>
          <w:p w14:paraId="5CDC3456" w14:textId="77777777" w:rsidR="008B4059" w:rsidRPr="008B4059" w:rsidRDefault="008B4059" w:rsidP="008B4059">
            <w:r w:rsidRPr="008B4059">
              <w:t>Mijë Leke</w:t>
            </w:r>
          </w:p>
        </w:tc>
      </w:tr>
      <w:tr w:rsidR="008B4059" w:rsidRPr="008B4059" w14:paraId="17F563E0"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F1C1925" w14:textId="77777777" w:rsidR="008B4059" w:rsidRPr="008B4059" w:rsidRDefault="008B4059" w:rsidP="008B4059">
            <w:r w:rsidRPr="008B4059">
              <w:t>Popullsia e përgjithshme e bashkisë</w:t>
            </w:r>
          </w:p>
        </w:tc>
        <w:tc>
          <w:tcPr>
            <w:cnfStyle w:val="000001000000" w:firstRow="0" w:lastRow="0" w:firstColumn="0" w:lastColumn="0" w:oddVBand="0" w:evenVBand="1" w:oddHBand="0" w:evenHBand="0" w:firstRowFirstColumn="0" w:firstRowLastColumn="0" w:lastRowFirstColumn="0" w:lastRowLastColumn="0"/>
            <w:tcW w:w="0" w:type="auto"/>
          </w:tcPr>
          <w:p w14:paraId="43FD6467" w14:textId="77777777" w:rsidR="008B4059" w:rsidRPr="008B4059" w:rsidRDefault="008B4059" w:rsidP="008B4059">
            <w:r w:rsidRPr="008B4059">
              <w:t>42993.00</w:t>
            </w:r>
          </w:p>
        </w:tc>
        <w:tc>
          <w:tcPr>
            <w:cnfStyle w:val="000010000000" w:firstRow="0" w:lastRow="0" w:firstColumn="0" w:lastColumn="0" w:oddVBand="1" w:evenVBand="0" w:oddHBand="0" w:evenHBand="0" w:firstRowFirstColumn="0" w:firstRowLastColumn="0" w:lastRowFirstColumn="0" w:lastRowLastColumn="0"/>
            <w:tcW w:w="0" w:type="auto"/>
          </w:tcPr>
          <w:p w14:paraId="6B019397" w14:textId="77777777" w:rsidR="008B4059" w:rsidRPr="008B4059" w:rsidRDefault="008B4059" w:rsidP="008B4059">
            <w:r w:rsidRPr="008B4059">
              <w:t>43067.00</w:t>
            </w:r>
          </w:p>
        </w:tc>
        <w:tc>
          <w:tcPr>
            <w:cnfStyle w:val="000001000000" w:firstRow="0" w:lastRow="0" w:firstColumn="0" w:lastColumn="0" w:oddVBand="0" w:evenVBand="1" w:oddHBand="0" w:evenHBand="0" w:firstRowFirstColumn="0" w:firstRowLastColumn="0" w:lastRowFirstColumn="0" w:lastRowLastColumn="0"/>
            <w:tcW w:w="0" w:type="auto"/>
          </w:tcPr>
          <w:p w14:paraId="3687EF55" w14:textId="77777777" w:rsidR="008B4059" w:rsidRPr="008B4059" w:rsidRDefault="008B4059" w:rsidP="008B4059">
            <w:r w:rsidRPr="008B4059">
              <w:t>Numër</w:t>
            </w:r>
          </w:p>
        </w:tc>
      </w:tr>
      <w:tr w:rsidR="008B4059" w:rsidRPr="008B4059" w14:paraId="491991A5" w14:textId="77777777" w:rsidTr="008B4059">
        <w:tc>
          <w:tcPr>
            <w:cnfStyle w:val="000010000000" w:firstRow="0" w:lastRow="0" w:firstColumn="0" w:lastColumn="0" w:oddVBand="1" w:evenVBand="0" w:oddHBand="0" w:evenHBand="0" w:firstRowFirstColumn="0" w:firstRowLastColumn="0" w:lastRowFirstColumn="0" w:lastRowLastColumn="0"/>
            <w:tcW w:w="0" w:type="auto"/>
          </w:tcPr>
          <w:p w14:paraId="3C05539B" w14:textId="77777777" w:rsidR="008B4059" w:rsidRPr="008B4059" w:rsidRDefault="008B4059" w:rsidP="008B4059">
            <w:r w:rsidRPr="008B4059">
              <w:t>Transfertat gjithsej, fakt</w:t>
            </w:r>
          </w:p>
        </w:tc>
        <w:tc>
          <w:tcPr>
            <w:cnfStyle w:val="000001000000" w:firstRow="0" w:lastRow="0" w:firstColumn="0" w:lastColumn="0" w:oddVBand="0" w:evenVBand="1" w:oddHBand="0" w:evenHBand="0" w:firstRowFirstColumn="0" w:firstRowLastColumn="0" w:lastRowFirstColumn="0" w:lastRowLastColumn="0"/>
            <w:tcW w:w="0" w:type="auto"/>
          </w:tcPr>
          <w:p w14:paraId="336522DF" w14:textId="77777777" w:rsidR="008B4059" w:rsidRPr="008B4059" w:rsidRDefault="008B4059" w:rsidP="008B4059">
            <w:r w:rsidRPr="008B4059">
              <w:t>1488300.00</w:t>
            </w:r>
          </w:p>
        </w:tc>
        <w:tc>
          <w:tcPr>
            <w:cnfStyle w:val="000010000000" w:firstRow="0" w:lastRow="0" w:firstColumn="0" w:lastColumn="0" w:oddVBand="1" w:evenVBand="0" w:oddHBand="0" w:evenHBand="0" w:firstRowFirstColumn="0" w:firstRowLastColumn="0" w:lastRowFirstColumn="0" w:lastRowLastColumn="0"/>
            <w:tcW w:w="0" w:type="auto"/>
          </w:tcPr>
          <w:p w14:paraId="49F79C61" w14:textId="77777777" w:rsidR="008B4059" w:rsidRPr="008B4059" w:rsidRDefault="008B4059" w:rsidP="008B4059">
            <w:r w:rsidRPr="008B4059">
              <w:t>1533399.00</w:t>
            </w:r>
          </w:p>
        </w:tc>
        <w:tc>
          <w:tcPr>
            <w:cnfStyle w:val="000001000000" w:firstRow="0" w:lastRow="0" w:firstColumn="0" w:lastColumn="0" w:oddVBand="0" w:evenVBand="1" w:oddHBand="0" w:evenHBand="0" w:firstRowFirstColumn="0" w:firstRowLastColumn="0" w:lastRowFirstColumn="0" w:lastRowLastColumn="0"/>
            <w:tcW w:w="0" w:type="auto"/>
          </w:tcPr>
          <w:p w14:paraId="3B370723" w14:textId="77777777" w:rsidR="008B4059" w:rsidRPr="008B4059" w:rsidRDefault="008B4059" w:rsidP="008B4059">
            <w:r w:rsidRPr="008B4059">
              <w:t>Mijë Leke</w:t>
            </w:r>
          </w:p>
        </w:tc>
      </w:tr>
      <w:tr w:rsidR="008B4059" w:rsidRPr="008B4059" w14:paraId="5BCD1B9C"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4F54F2A" w14:textId="77777777" w:rsidR="008B4059" w:rsidRPr="008B4059" w:rsidRDefault="008B4059" w:rsidP="008B4059">
            <w:r w:rsidRPr="008B4059">
              <w:t>Të ardhurat e përgjithshme, fakt</w:t>
            </w:r>
          </w:p>
        </w:tc>
        <w:tc>
          <w:tcPr>
            <w:cnfStyle w:val="000001000000" w:firstRow="0" w:lastRow="0" w:firstColumn="0" w:lastColumn="0" w:oddVBand="0" w:evenVBand="1" w:oddHBand="0" w:evenHBand="0" w:firstRowFirstColumn="0" w:firstRowLastColumn="0" w:lastRowFirstColumn="0" w:lastRowLastColumn="0"/>
            <w:tcW w:w="0" w:type="auto"/>
          </w:tcPr>
          <w:p w14:paraId="01EAF180" w14:textId="77777777" w:rsidR="008B4059" w:rsidRPr="008B4059" w:rsidRDefault="008B4059" w:rsidP="008B4059">
            <w:r w:rsidRPr="008B4059">
              <w:t>1666076.00</w:t>
            </w:r>
          </w:p>
        </w:tc>
        <w:tc>
          <w:tcPr>
            <w:cnfStyle w:val="000010000000" w:firstRow="0" w:lastRow="0" w:firstColumn="0" w:lastColumn="0" w:oddVBand="1" w:evenVBand="0" w:oddHBand="0" w:evenHBand="0" w:firstRowFirstColumn="0" w:firstRowLastColumn="0" w:lastRowFirstColumn="0" w:lastRowLastColumn="0"/>
            <w:tcW w:w="0" w:type="auto"/>
          </w:tcPr>
          <w:p w14:paraId="2D3F7D10" w14:textId="77777777" w:rsidR="008B4059" w:rsidRPr="008B4059" w:rsidRDefault="008B4059" w:rsidP="008B4059">
            <w:r w:rsidRPr="008B4059">
              <w:t>1728528.00</w:t>
            </w:r>
          </w:p>
        </w:tc>
        <w:tc>
          <w:tcPr>
            <w:cnfStyle w:val="000001000000" w:firstRow="0" w:lastRow="0" w:firstColumn="0" w:lastColumn="0" w:oddVBand="0" w:evenVBand="1" w:oddHBand="0" w:evenHBand="0" w:firstRowFirstColumn="0" w:firstRowLastColumn="0" w:lastRowFirstColumn="0" w:lastRowLastColumn="0"/>
            <w:tcW w:w="0" w:type="auto"/>
          </w:tcPr>
          <w:p w14:paraId="77ADA62E" w14:textId="77777777" w:rsidR="008B4059" w:rsidRPr="008B4059" w:rsidRDefault="008B4059" w:rsidP="008B4059">
            <w:r w:rsidRPr="008B4059">
              <w:t>Mijë Leke</w:t>
            </w:r>
          </w:p>
        </w:tc>
      </w:tr>
      <w:tr w:rsidR="008B4059" w:rsidRPr="008B4059" w14:paraId="1C8B879C" w14:textId="77777777" w:rsidTr="008B4059">
        <w:tc>
          <w:tcPr>
            <w:cnfStyle w:val="000010000000" w:firstRow="0" w:lastRow="0" w:firstColumn="0" w:lastColumn="0" w:oddVBand="1" w:evenVBand="0" w:oddHBand="0" w:evenHBand="0" w:firstRowFirstColumn="0" w:firstRowLastColumn="0" w:lastRowFirstColumn="0" w:lastRowLastColumn="0"/>
            <w:tcW w:w="0" w:type="auto"/>
          </w:tcPr>
          <w:p w14:paraId="66A914E6" w14:textId="77777777" w:rsidR="008B4059" w:rsidRPr="008B4059" w:rsidRDefault="008B4059" w:rsidP="008B4059">
            <w:r w:rsidRPr="008B4059">
              <w:t>Totalit i shpenzimeve të bashkisë , fakt</w:t>
            </w:r>
          </w:p>
        </w:tc>
        <w:tc>
          <w:tcPr>
            <w:cnfStyle w:val="000001000000" w:firstRow="0" w:lastRow="0" w:firstColumn="0" w:lastColumn="0" w:oddVBand="0" w:evenVBand="1" w:oddHBand="0" w:evenHBand="0" w:firstRowFirstColumn="0" w:firstRowLastColumn="0" w:lastRowFirstColumn="0" w:lastRowLastColumn="0"/>
            <w:tcW w:w="0" w:type="auto"/>
          </w:tcPr>
          <w:p w14:paraId="7F93A49A" w14:textId="77777777" w:rsidR="008B4059" w:rsidRPr="008B4059" w:rsidRDefault="008B4059" w:rsidP="008B4059">
            <w:r w:rsidRPr="008B4059">
              <w:t>1422309.00</w:t>
            </w:r>
          </w:p>
        </w:tc>
        <w:tc>
          <w:tcPr>
            <w:cnfStyle w:val="000010000000" w:firstRow="0" w:lastRow="0" w:firstColumn="0" w:lastColumn="0" w:oddVBand="1" w:evenVBand="0" w:oddHBand="0" w:evenHBand="0" w:firstRowFirstColumn="0" w:firstRowLastColumn="0" w:lastRowFirstColumn="0" w:lastRowLastColumn="0"/>
            <w:tcW w:w="0" w:type="auto"/>
          </w:tcPr>
          <w:p w14:paraId="5E1E9B1C" w14:textId="77777777" w:rsidR="008B4059" w:rsidRPr="008B4059" w:rsidRDefault="008B4059" w:rsidP="008B4059">
            <w:r w:rsidRPr="008B4059">
              <w:t>1510260.00</w:t>
            </w:r>
          </w:p>
        </w:tc>
        <w:tc>
          <w:tcPr>
            <w:cnfStyle w:val="000001000000" w:firstRow="0" w:lastRow="0" w:firstColumn="0" w:lastColumn="0" w:oddVBand="0" w:evenVBand="1" w:oddHBand="0" w:evenHBand="0" w:firstRowFirstColumn="0" w:firstRowLastColumn="0" w:lastRowFirstColumn="0" w:lastRowLastColumn="0"/>
            <w:tcW w:w="0" w:type="auto"/>
          </w:tcPr>
          <w:p w14:paraId="5731620E" w14:textId="77777777" w:rsidR="008B4059" w:rsidRPr="008B4059" w:rsidRDefault="008B4059" w:rsidP="008B4059">
            <w:r w:rsidRPr="008B4059">
              <w:t>Mijë Leke</w:t>
            </w:r>
          </w:p>
        </w:tc>
      </w:tr>
      <w:tr w:rsidR="008B4059" w:rsidRPr="008B4059" w14:paraId="27C7C9EE"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FDE1AF4" w14:textId="77777777" w:rsidR="008B4059" w:rsidRPr="008B4059" w:rsidRDefault="008B4059" w:rsidP="008B4059">
            <w:r w:rsidRPr="008B4059">
              <w:t>Të ardhurat nga taksa e pasurisë, fakt</w:t>
            </w:r>
          </w:p>
        </w:tc>
        <w:tc>
          <w:tcPr>
            <w:cnfStyle w:val="000001000000" w:firstRow="0" w:lastRow="0" w:firstColumn="0" w:lastColumn="0" w:oddVBand="0" w:evenVBand="1" w:oddHBand="0" w:evenHBand="0" w:firstRowFirstColumn="0" w:firstRowLastColumn="0" w:lastRowFirstColumn="0" w:lastRowLastColumn="0"/>
            <w:tcW w:w="0" w:type="auto"/>
          </w:tcPr>
          <w:p w14:paraId="76BCCDB7" w14:textId="77777777" w:rsidR="008B4059" w:rsidRPr="008B4059" w:rsidRDefault="008B4059" w:rsidP="008B4059">
            <w:r w:rsidRPr="008B4059">
              <w:t>18646.00</w:t>
            </w:r>
          </w:p>
        </w:tc>
        <w:tc>
          <w:tcPr>
            <w:cnfStyle w:val="000010000000" w:firstRow="0" w:lastRow="0" w:firstColumn="0" w:lastColumn="0" w:oddVBand="1" w:evenVBand="0" w:oddHBand="0" w:evenHBand="0" w:firstRowFirstColumn="0" w:firstRowLastColumn="0" w:lastRowFirstColumn="0" w:lastRowLastColumn="0"/>
            <w:tcW w:w="0" w:type="auto"/>
          </w:tcPr>
          <w:p w14:paraId="442CE5D5" w14:textId="77777777" w:rsidR="008B4059" w:rsidRPr="008B4059" w:rsidRDefault="008B4059" w:rsidP="008B4059">
            <w:r w:rsidRPr="008B4059">
              <w:t>22382.00</w:t>
            </w:r>
          </w:p>
        </w:tc>
        <w:tc>
          <w:tcPr>
            <w:cnfStyle w:val="000001000000" w:firstRow="0" w:lastRow="0" w:firstColumn="0" w:lastColumn="0" w:oddVBand="0" w:evenVBand="1" w:oddHBand="0" w:evenHBand="0" w:firstRowFirstColumn="0" w:firstRowLastColumn="0" w:lastRowFirstColumn="0" w:lastRowLastColumn="0"/>
            <w:tcW w:w="0" w:type="auto"/>
          </w:tcPr>
          <w:p w14:paraId="0979FC11" w14:textId="77777777" w:rsidR="008B4059" w:rsidRPr="008B4059" w:rsidRDefault="008B4059" w:rsidP="008B4059">
            <w:r w:rsidRPr="008B4059">
              <w:t>Mijë Leke</w:t>
            </w:r>
          </w:p>
        </w:tc>
      </w:tr>
      <w:tr w:rsidR="008B4059" w:rsidRPr="008B4059" w14:paraId="3C341FC3" w14:textId="77777777" w:rsidTr="008B4059">
        <w:tc>
          <w:tcPr>
            <w:cnfStyle w:val="000010000000" w:firstRow="0" w:lastRow="0" w:firstColumn="0" w:lastColumn="0" w:oddVBand="1" w:evenVBand="0" w:oddHBand="0" w:evenHBand="0" w:firstRowFirstColumn="0" w:firstRowLastColumn="0" w:lastRowFirstColumn="0" w:lastRowLastColumn="0"/>
            <w:tcW w:w="0" w:type="auto"/>
          </w:tcPr>
          <w:p w14:paraId="369A7A51" w14:textId="77777777" w:rsidR="008B4059" w:rsidRPr="008B4059" w:rsidRDefault="008B4059" w:rsidP="008B4059">
            <w:r w:rsidRPr="008B4059">
              <w:t>Shpenzime gjithsej, plan i rishikuar</w:t>
            </w:r>
          </w:p>
        </w:tc>
        <w:tc>
          <w:tcPr>
            <w:cnfStyle w:val="000001000000" w:firstRow="0" w:lastRow="0" w:firstColumn="0" w:lastColumn="0" w:oddVBand="0" w:evenVBand="1" w:oddHBand="0" w:evenHBand="0" w:firstRowFirstColumn="0" w:firstRowLastColumn="0" w:lastRowFirstColumn="0" w:lastRowLastColumn="0"/>
            <w:tcW w:w="0" w:type="auto"/>
          </w:tcPr>
          <w:p w14:paraId="5F533A82" w14:textId="77777777" w:rsidR="008B4059" w:rsidRPr="008B4059" w:rsidRDefault="008B4059" w:rsidP="008B4059">
            <w:r w:rsidRPr="008B4059">
              <w:t>1666076.00</w:t>
            </w:r>
          </w:p>
        </w:tc>
        <w:tc>
          <w:tcPr>
            <w:cnfStyle w:val="000010000000" w:firstRow="0" w:lastRow="0" w:firstColumn="0" w:lastColumn="0" w:oddVBand="1" w:evenVBand="0" w:oddHBand="0" w:evenHBand="0" w:firstRowFirstColumn="0" w:firstRowLastColumn="0" w:lastRowFirstColumn="0" w:lastRowLastColumn="0"/>
            <w:tcW w:w="0" w:type="auto"/>
          </w:tcPr>
          <w:p w14:paraId="16F87933" w14:textId="77777777" w:rsidR="008B4059" w:rsidRPr="008B4059" w:rsidRDefault="008B4059" w:rsidP="008B4059">
            <w:r w:rsidRPr="008B4059">
              <w:t>1728528.00</w:t>
            </w:r>
          </w:p>
        </w:tc>
        <w:tc>
          <w:tcPr>
            <w:cnfStyle w:val="000001000000" w:firstRow="0" w:lastRow="0" w:firstColumn="0" w:lastColumn="0" w:oddVBand="0" w:evenVBand="1" w:oddHBand="0" w:evenHBand="0" w:firstRowFirstColumn="0" w:firstRowLastColumn="0" w:lastRowFirstColumn="0" w:lastRowLastColumn="0"/>
            <w:tcW w:w="0" w:type="auto"/>
          </w:tcPr>
          <w:p w14:paraId="554E698D" w14:textId="77777777" w:rsidR="008B4059" w:rsidRPr="008B4059" w:rsidRDefault="008B4059" w:rsidP="008B4059">
            <w:r w:rsidRPr="008B4059">
              <w:t>Mijë Leke</w:t>
            </w:r>
          </w:p>
        </w:tc>
      </w:tr>
      <w:tr w:rsidR="008B4059" w:rsidRPr="008B4059" w14:paraId="1A705832"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6B35801" w14:textId="77777777" w:rsidR="008B4059" w:rsidRPr="008B4059" w:rsidRDefault="008B4059" w:rsidP="008B4059">
            <w:r w:rsidRPr="008B4059">
              <w:t>Shpenzime kapitale, fakt</w:t>
            </w:r>
          </w:p>
        </w:tc>
        <w:tc>
          <w:tcPr>
            <w:cnfStyle w:val="000001000000" w:firstRow="0" w:lastRow="0" w:firstColumn="0" w:lastColumn="0" w:oddVBand="0" w:evenVBand="1" w:oddHBand="0" w:evenHBand="0" w:firstRowFirstColumn="0" w:firstRowLastColumn="0" w:lastRowFirstColumn="0" w:lastRowLastColumn="0"/>
            <w:tcW w:w="0" w:type="auto"/>
          </w:tcPr>
          <w:p w14:paraId="1943E1E0" w14:textId="77777777" w:rsidR="008B4059" w:rsidRPr="008B4059" w:rsidRDefault="008B4059" w:rsidP="008B4059">
            <w:r w:rsidRPr="008B4059">
              <w:t>412050.00</w:t>
            </w:r>
          </w:p>
        </w:tc>
        <w:tc>
          <w:tcPr>
            <w:cnfStyle w:val="000010000000" w:firstRow="0" w:lastRow="0" w:firstColumn="0" w:lastColumn="0" w:oddVBand="1" w:evenVBand="0" w:oddHBand="0" w:evenHBand="0" w:firstRowFirstColumn="0" w:firstRowLastColumn="0" w:lastRowFirstColumn="0" w:lastRowLastColumn="0"/>
            <w:tcW w:w="0" w:type="auto"/>
          </w:tcPr>
          <w:p w14:paraId="5C3D1B1A" w14:textId="77777777" w:rsidR="008B4059" w:rsidRPr="008B4059" w:rsidRDefault="008B4059" w:rsidP="008B4059">
            <w:r w:rsidRPr="008B4059">
              <w:t>374711.00</w:t>
            </w:r>
          </w:p>
        </w:tc>
        <w:tc>
          <w:tcPr>
            <w:cnfStyle w:val="000001000000" w:firstRow="0" w:lastRow="0" w:firstColumn="0" w:lastColumn="0" w:oddVBand="0" w:evenVBand="1" w:oddHBand="0" w:evenHBand="0" w:firstRowFirstColumn="0" w:firstRowLastColumn="0" w:lastRowFirstColumn="0" w:lastRowLastColumn="0"/>
            <w:tcW w:w="0" w:type="auto"/>
          </w:tcPr>
          <w:p w14:paraId="2F458E49" w14:textId="77777777" w:rsidR="008B4059" w:rsidRPr="008B4059" w:rsidRDefault="008B4059" w:rsidP="008B4059">
            <w:r w:rsidRPr="008B4059">
              <w:t>Mijë Leke</w:t>
            </w:r>
          </w:p>
        </w:tc>
      </w:tr>
      <w:tr w:rsidR="008B4059" w:rsidRPr="008B4059" w14:paraId="65263D86" w14:textId="77777777" w:rsidTr="008B4059">
        <w:tc>
          <w:tcPr>
            <w:cnfStyle w:val="000010000000" w:firstRow="0" w:lastRow="0" w:firstColumn="0" w:lastColumn="0" w:oddVBand="1" w:evenVBand="0" w:oddHBand="0" w:evenHBand="0" w:firstRowFirstColumn="0" w:firstRowLastColumn="0" w:lastRowFirstColumn="0" w:lastRowLastColumn="0"/>
            <w:tcW w:w="0" w:type="auto"/>
          </w:tcPr>
          <w:p w14:paraId="62F42930" w14:textId="77777777" w:rsidR="008B4059" w:rsidRPr="008B4059" w:rsidRDefault="008B4059" w:rsidP="008B4059">
            <w:r w:rsidRPr="008B4059">
              <w:t>Detyrime të papaguara mbi 30 ditë</w:t>
            </w:r>
          </w:p>
        </w:tc>
        <w:tc>
          <w:tcPr>
            <w:cnfStyle w:val="000001000000" w:firstRow="0" w:lastRow="0" w:firstColumn="0" w:lastColumn="0" w:oddVBand="0" w:evenVBand="1" w:oddHBand="0" w:evenHBand="0" w:firstRowFirstColumn="0" w:firstRowLastColumn="0" w:lastRowFirstColumn="0" w:lastRowLastColumn="0"/>
            <w:tcW w:w="0" w:type="auto"/>
          </w:tcPr>
          <w:p w14:paraId="4BDD0B07" w14:textId="77777777" w:rsidR="008B4059" w:rsidRPr="008B4059" w:rsidRDefault="008B4059" w:rsidP="008B4059">
            <w:r w:rsidRPr="008B4059">
              <w:t>2036.00</w:t>
            </w:r>
          </w:p>
        </w:tc>
        <w:tc>
          <w:tcPr>
            <w:cnfStyle w:val="000010000000" w:firstRow="0" w:lastRow="0" w:firstColumn="0" w:lastColumn="0" w:oddVBand="1" w:evenVBand="0" w:oddHBand="0" w:evenHBand="0" w:firstRowFirstColumn="0" w:firstRowLastColumn="0" w:lastRowFirstColumn="0" w:lastRowLastColumn="0"/>
            <w:tcW w:w="0" w:type="auto"/>
          </w:tcPr>
          <w:p w14:paraId="79FCD74B" w14:textId="77777777" w:rsidR="008B4059" w:rsidRPr="008B4059" w:rsidRDefault="008B4059" w:rsidP="008B4059">
            <w:r w:rsidRPr="008B4059">
              <w:t>6124.00</w:t>
            </w:r>
          </w:p>
        </w:tc>
        <w:tc>
          <w:tcPr>
            <w:cnfStyle w:val="000001000000" w:firstRow="0" w:lastRow="0" w:firstColumn="0" w:lastColumn="0" w:oddVBand="0" w:evenVBand="1" w:oddHBand="0" w:evenHBand="0" w:firstRowFirstColumn="0" w:firstRowLastColumn="0" w:lastRowFirstColumn="0" w:lastRowLastColumn="0"/>
            <w:tcW w:w="0" w:type="auto"/>
          </w:tcPr>
          <w:p w14:paraId="73DC4A95" w14:textId="77777777" w:rsidR="008B4059" w:rsidRPr="008B4059" w:rsidRDefault="008B4059" w:rsidP="008B4059">
            <w:r w:rsidRPr="008B4059">
              <w:t>Mijë Leke</w:t>
            </w:r>
          </w:p>
        </w:tc>
      </w:tr>
      <w:tr w:rsidR="008B4059" w:rsidRPr="008B4059" w14:paraId="41629C15" w14:textId="77777777" w:rsidTr="008B40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7132037" w14:textId="77777777" w:rsidR="008B4059" w:rsidRPr="008B4059" w:rsidRDefault="008B4059" w:rsidP="008B4059">
            <w:r w:rsidRPr="008B4059">
              <w:t>Shpenzime personeli, fakt</w:t>
            </w:r>
          </w:p>
        </w:tc>
        <w:tc>
          <w:tcPr>
            <w:cnfStyle w:val="000001000000" w:firstRow="0" w:lastRow="0" w:firstColumn="0" w:lastColumn="0" w:oddVBand="0" w:evenVBand="1" w:oddHBand="0" w:evenHBand="0" w:firstRowFirstColumn="0" w:firstRowLastColumn="0" w:lastRowFirstColumn="0" w:lastRowLastColumn="0"/>
            <w:tcW w:w="0" w:type="auto"/>
          </w:tcPr>
          <w:p w14:paraId="03C78BFE" w14:textId="77777777" w:rsidR="008B4059" w:rsidRPr="008B4059" w:rsidRDefault="008B4059" w:rsidP="008B4059">
            <w:r w:rsidRPr="008B4059">
              <w:t>316590.00</w:t>
            </w:r>
          </w:p>
        </w:tc>
        <w:tc>
          <w:tcPr>
            <w:cnfStyle w:val="000010000000" w:firstRow="0" w:lastRow="0" w:firstColumn="0" w:lastColumn="0" w:oddVBand="1" w:evenVBand="0" w:oddHBand="0" w:evenHBand="0" w:firstRowFirstColumn="0" w:firstRowLastColumn="0" w:lastRowFirstColumn="0" w:lastRowLastColumn="0"/>
            <w:tcW w:w="0" w:type="auto"/>
          </w:tcPr>
          <w:p w14:paraId="1952309F" w14:textId="77777777" w:rsidR="008B4059" w:rsidRPr="008B4059" w:rsidRDefault="008B4059" w:rsidP="008B4059">
            <w:r w:rsidRPr="008B4059">
              <w:t>376909.00</w:t>
            </w:r>
          </w:p>
        </w:tc>
        <w:tc>
          <w:tcPr>
            <w:cnfStyle w:val="000001000000" w:firstRow="0" w:lastRow="0" w:firstColumn="0" w:lastColumn="0" w:oddVBand="0" w:evenVBand="1" w:oddHBand="0" w:evenHBand="0" w:firstRowFirstColumn="0" w:firstRowLastColumn="0" w:lastRowFirstColumn="0" w:lastRowLastColumn="0"/>
            <w:tcW w:w="0" w:type="auto"/>
          </w:tcPr>
          <w:p w14:paraId="011FF0B9" w14:textId="77777777" w:rsidR="008B4059" w:rsidRPr="008B4059" w:rsidRDefault="008B4059" w:rsidP="008B4059">
            <w:r w:rsidRPr="008B4059">
              <w:t>Mijë Leke</w:t>
            </w:r>
          </w:p>
        </w:tc>
      </w:tr>
      <w:tr w:rsidR="008B4059" w:rsidRPr="008B4059" w14:paraId="50A03292" w14:textId="77777777" w:rsidTr="008B4059">
        <w:tc>
          <w:tcPr>
            <w:cnfStyle w:val="000010000000" w:firstRow="0" w:lastRow="0" w:firstColumn="0" w:lastColumn="0" w:oddVBand="1" w:evenVBand="0" w:oddHBand="0" w:evenHBand="0" w:firstRowFirstColumn="0" w:firstRowLastColumn="0" w:lastRowFirstColumn="0" w:lastRowLastColumn="0"/>
            <w:tcW w:w="0" w:type="auto"/>
          </w:tcPr>
          <w:p w14:paraId="7F0AB847" w14:textId="77777777" w:rsidR="008B4059" w:rsidRPr="008B4059" w:rsidRDefault="008B4059" w:rsidP="008B4059">
            <w:r w:rsidRPr="008B4059">
              <w:t>Shpenzime operacionale, fakt</w:t>
            </w:r>
          </w:p>
        </w:tc>
        <w:tc>
          <w:tcPr>
            <w:cnfStyle w:val="000001000000" w:firstRow="0" w:lastRow="0" w:firstColumn="0" w:lastColumn="0" w:oddVBand="0" w:evenVBand="1" w:oddHBand="0" w:evenHBand="0" w:firstRowFirstColumn="0" w:firstRowLastColumn="0" w:lastRowFirstColumn="0" w:lastRowLastColumn="0"/>
            <w:tcW w:w="0" w:type="auto"/>
          </w:tcPr>
          <w:p w14:paraId="594C819D" w14:textId="77777777" w:rsidR="008B4059" w:rsidRPr="008B4059" w:rsidRDefault="008B4059" w:rsidP="008B4059">
            <w:r w:rsidRPr="008B4059">
              <w:t>693669.00</w:t>
            </w:r>
          </w:p>
        </w:tc>
        <w:tc>
          <w:tcPr>
            <w:cnfStyle w:val="000010000000" w:firstRow="0" w:lastRow="0" w:firstColumn="0" w:lastColumn="0" w:oddVBand="1" w:evenVBand="0" w:oddHBand="0" w:evenHBand="0" w:firstRowFirstColumn="0" w:firstRowLastColumn="0" w:lastRowFirstColumn="0" w:lastRowLastColumn="0"/>
            <w:tcW w:w="0" w:type="auto"/>
          </w:tcPr>
          <w:p w14:paraId="67154DC2" w14:textId="77777777" w:rsidR="008B4059" w:rsidRPr="008B4059" w:rsidRDefault="008B4059" w:rsidP="008B4059">
            <w:r w:rsidRPr="008B4059">
              <w:t>758640.00</w:t>
            </w:r>
          </w:p>
        </w:tc>
        <w:tc>
          <w:tcPr>
            <w:cnfStyle w:val="000001000000" w:firstRow="0" w:lastRow="0" w:firstColumn="0" w:lastColumn="0" w:oddVBand="0" w:evenVBand="1" w:oddHBand="0" w:evenHBand="0" w:firstRowFirstColumn="0" w:firstRowLastColumn="0" w:lastRowFirstColumn="0" w:lastRowLastColumn="0"/>
            <w:tcW w:w="0" w:type="auto"/>
          </w:tcPr>
          <w:p w14:paraId="3754F0A1" w14:textId="77777777" w:rsidR="008B4059" w:rsidRPr="008B4059" w:rsidRDefault="008B4059" w:rsidP="008B4059">
            <w:r w:rsidRPr="008B4059">
              <w:t>Mijë Leke</w:t>
            </w:r>
          </w:p>
        </w:tc>
      </w:tr>
    </w:tbl>
    <w:p w14:paraId="32E1E75A" w14:textId="77777777" w:rsidR="008B4059" w:rsidRPr="008B4059" w:rsidRDefault="008B4059" w:rsidP="00641A64">
      <w:pPr>
        <w:spacing w:before="360" w:after="360"/>
        <w:jc w:val="both"/>
        <w:rPr>
          <w:rFonts w:ascii="Bahnschrift" w:hAnsi="Bahnschrift"/>
          <w:sz w:val="22"/>
          <w:szCs w:val="22"/>
          <w:lang w:val="it-IT"/>
        </w:rPr>
      </w:pPr>
    </w:p>
    <w:p w14:paraId="052E028C" w14:textId="77777777" w:rsidR="00245A3F" w:rsidRPr="00245A3F" w:rsidRDefault="00245A3F" w:rsidP="00245A3F">
      <w:pPr>
        <w:pStyle w:val="Heading1"/>
        <w:shd w:val="clear" w:color="auto" w:fill="BF8F00" w:themeFill="accent4" w:themeFillShade="BF"/>
        <w:rPr>
          <w:sz w:val="48"/>
          <w:szCs w:val="48"/>
        </w:rPr>
      </w:pPr>
      <w:bookmarkStart w:id="20" w:name="_Toc209362174"/>
      <w:r w:rsidRPr="00245A3F">
        <w:rPr>
          <w:sz w:val="48"/>
          <w:szCs w:val="48"/>
        </w:rPr>
        <w:lastRenderedPageBreak/>
        <w:t>Përfundime dhe Rekomandime</w:t>
      </w:r>
      <w:bookmarkEnd w:id="20"/>
    </w:p>
    <w:p w14:paraId="549875FE" w14:textId="77777777" w:rsidR="00673917" w:rsidRPr="00673917" w:rsidRDefault="00673917" w:rsidP="00673917">
      <w:pPr>
        <w:pStyle w:val="NormalWeb"/>
        <w:rPr>
          <w:rFonts w:ascii="Bahnschrift" w:hAnsi="Bahnschrift"/>
          <w:sz w:val="22"/>
          <w:szCs w:val="22"/>
          <w:lang w:val="it-IT"/>
        </w:rPr>
      </w:pPr>
      <w:r w:rsidRPr="00673917">
        <w:rPr>
          <w:rFonts w:ascii="Bahnschrift" w:hAnsi="Bahnschrift"/>
          <w:sz w:val="22"/>
          <w:szCs w:val="22"/>
          <w:lang w:val="it-IT"/>
        </w:rPr>
        <w:t>Bashkia Librazhd në vitin 2024 paraqet një situatë të ndërthurur mes stabilitetit në funksionet themelore dhe sfidave strukturore të lidhura me demografinë, territorin malor dhe shpërndarjen e popullsisë. Shërbimet publike ofrohen në të gjithë territorin, por cilësia dhe qasja ndryshojnë sipas njësive administrative, veçanërisht në funksionet që kërkojnë infrastrukturë të lokalizuar si arsimi parashkollor, menaxhimi i mbetjeve dhe ujitja–kullimi.</w:t>
      </w:r>
    </w:p>
    <w:p w14:paraId="77F36B7C" w14:textId="77777777" w:rsidR="00673917" w:rsidRPr="00673917" w:rsidRDefault="00673917" w:rsidP="00673917">
      <w:pPr>
        <w:pStyle w:val="NormalWeb"/>
        <w:rPr>
          <w:rFonts w:ascii="Bahnschrift" w:hAnsi="Bahnschrift"/>
          <w:sz w:val="22"/>
          <w:szCs w:val="22"/>
          <w:lang w:val="it-IT"/>
        </w:rPr>
      </w:pPr>
      <w:r w:rsidRPr="00673917">
        <w:rPr>
          <w:rFonts w:ascii="Bahnschrift" w:hAnsi="Bahnschrift"/>
          <w:sz w:val="22"/>
          <w:szCs w:val="22"/>
          <w:lang w:val="it-IT"/>
        </w:rPr>
        <w:t>Në arsim parauniversitar, bashkia shënon ulje të theksuar të pjesëmarrjes si në çerdhe, ashtu edhe në kopshte, ndërkohë që infrastruktura është zgjeruar ndjeshëm. Kjo tregon një mospërputhje midis investimeve dhe përdorimit real nga komuniteti. Në financa, bashkia paraqet performancë të qëndrueshme, ekzekutim të mirë buxhetor, rritje të investimeve dhe ulje të detyrimeve të prapambetura, çka reflekton disiplinë dhe menaxhim më eficient.</w:t>
      </w:r>
    </w:p>
    <w:p w14:paraId="506F688F" w14:textId="77777777" w:rsidR="00673917" w:rsidRPr="00673917" w:rsidRDefault="00673917" w:rsidP="00673917">
      <w:pPr>
        <w:pStyle w:val="NormalWeb"/>
        <w:rPr>
          <w:rFonts w:ascii="Bahnschrift" w:hAnsi="Bahnschrift"/>
          <w:sz w:val="22"/>
          <w:szCs w:val="22"/>
          <w:lang w:val="it-IT"/>
        </w:rPr>
      </w:pPr>
      <w:r w:rsidRPr="00673917">
        <w:rPr>
          <w:rFonts w:ascii="Bahnschrift" w:hAnsi="Bahnschrift"/>
          <w:sz w:val="22"/>
          <w:szCs w:val="22"/>
          <w:lang w:val="it-IT"/>
        </w:rPr>
        <w:t>Shërbimet e ujitjes dhe kullimit vijojnë të kufizuara nga terreni, ndërsa menaxhimi i mbetjeve paraqet vështirësi veçanërisht në fshatra të largëta për shkak të kostove të larta të transportit. Pyjet dhe kullotat kërkojnë më shumë kapacitete për monitorim dhe ndërhyrje, sidomos për sezonin e zjarreve. Burimet njerëzore mbeten të kufizuara në disa funksione teknike, duke ndikuar në cilësinë e planifikimit dhe raportimit.</w:t>
      </w:r>
    </w:p>
    <w:p w14:paraId="5D0B212C" w14:textId="77777777" w:rsidR="00673917" w:rsidRPr="00673917" w:rsidRDefault="00673917" w:rsidP="00673917">
      <w:pPr>
        <w:pStyle w:val="NormalWeb"/>
        <w:rPr>
          <w:rFonts w:ascii="Bahnschrift" w:hAnsi="Bahnschrift"/>
          <w:sz w:val="22"/>
          <w:szCs w:val="22"/>
          <w:lang w:val="it-IT"/>
        </w:rPr>
      </w:pPr>
      <w:r w:rsidRPr="00673917">
        <w:rPr>
          <w:rFonts w:ascii="Bahnschrift" w:hAnsi="Bahnschrift"/>
          <w:sz w:val="22"/>
          <w:szCs w:val="22"/>
          <w:lang w:val="it-IT"/>
        </w:rPr>
        <w:t>Në qeverisjen vendore janë bërë hapa përpara në transparencë dhe në publikimin e të dhënave, por pjesëmarrja qytetare dhe konsultimi publik mbeten të ulëta. Barazia gjinore dhe integrimi në BE janë fusha ku bashkia raporton disa nisma, por kanë nevojë për strukturim dhe matje më të qartë të progresit.</w:t>
      </w:r>
    </w:p>
    <w:p w14:paraId="37B20B1C" w14:textId="78B63412" w:rsidR="00673917" w:rsidRPr="00673917" w:rsidRDefault="00673917" w:rsidP="00673917">
      <w:pPr>
        <w:pStyle w:val="NormalWeb"/>
        <w:rPr>
          <w:rFonts w:ascii="Bahnschrift" w:hAnsi="Bahnschrift"/>
          <w:sz w:val="22"/>
          <w:szCs w:val="22"/>
          <w:lang w:val="it-IT"/>
        </w:rPr>
      </w:pPr>
      <w:r w:rsidRPr="00673917">
        <w:rPr>
          <w:rFonts w:ascii="Bahnschrift" w:hAnsi="Bahnschrift"/>
          <w:sz w:val="22"/>
          <w:szCs w:val="22"/>
          <w:lang w:val="it-IT"/>
        </w:rPr>
        <w:t>Në tërësi, Librazhdi është një bashki me potencial të fortë natyror, infrastrukturë të përmirësuar dhe stabilitet financiar, por me sfida të dukshme në shërbimet sociale, aksesin e territorit dhe përfshirjen e komunitetit në vendimmarrje. Zgjidhjet kërkojnë qasje të integruar, planifikim strategjik të bazuar në të dhëna dhe investim në kapacitete njerëzore dhe teknike.</w:t>
      </w:r>
    </w:p>
    <w:p w14:paraId="44610996" w14:textId="77777777" w:rsidR="00673917" w:rsidRPr="00673917" w:rsidRDefault="00673917" w:rsidP="00673917">
      <w:pPr>
        <w:pStyle w:val="Heading6"/>
        <w:rPr>
          <w:rFonts w:ascii="Bahnschrift" w:hAnsi="Bahnschrift"/>
          <w:caps w:val="0"/>
          <w:color w:val="auto"/>
          <w:spacing w:val="0"/>
          <w:sz w:val="22"/>
          <w:szCs w:val="22"/>
          <w:lang w:val="it-IT"/>
        </w:rPr>
      </w:pPr>
      <w:r w:rsidRPr="00673917">
        <w:rPr>
          <w:rFonts w:ascii="Bahnschrift" w:hAnsi="Bahnschrift"/>
          <w:caps w:val="0"/>
          <w:color w:val="auto"/>
          <w:spacing w:val="0"/>
          <w:sz w:val="22"/>
          <w:szCs w:val="22"/>
          <w:lang w:val="it-IT"/>
        </w:rPr>
        <w:t>Rekomandime</w:t>
      </w:r>
    </w:p>
    <w:p w14:paraId="59B9A638" w14:textId="77777777" w:rsidR="00673917" w:rsidRPr="00673917" w:rsidRDefault="00673917" w:rsidP="00673917">
      <w:pPr>
        <w:rPr>
          <w:rFonts w:ascii="Bahnschrift" w:hAnsi="Bahnschrift"/>
          <w:sz w:val="22"/>
          <w:szCs w:val="22"/>
          <w:lang w:val="it-IT"/>
        </w:rPr>
      </w:pPr>
      <w:r w:rsidRPr="00673917">
        <w:rPr>
          <w:rFonts w:ascii="Bahnschrift" w:hAnsi="Bahnschrift"/>
          <w:sz w:val="22"/>
          <w:szCs w:val="22"/>
          <w:lang w:val="it-IT"/>
        </w:rPr>
        <w:t>1. Arsimi Parauniversitar</w:t>
      </w:r>
    </w:p>
    <w:p w14:paraId="422A8D4F" w14:textId="77777777" w:rsidR="00673917" w:rsidRPr="00673917" w:rsidRDefault="00673917" w:rsidP="00673917">
      <w:pPr>
        <w:pStyle w:val="NormalWeb"/>
        <w:numPr>
          <w:ilvl w:val="0"/>
          <w:numId w:val="40"/>
        </w:numPr>
        <w:spacing w:line="240" w:lineRule="auto"/>
        <w:rPr>
          <w:rFonts w:ascii="Bahnschrift" w:hAnsi="Bahnschrift"/>
          <w:sz w:val="22"/>
          <w:szCs w:val="22"/>
          <w:lang w:val="it-IT"/>
        </w:rPr>
      </w:pPr>
      <w:r w:rsidRPr="00673917">
        <w:rPr>
          <w:rFonts w:ascii="Bahnschrift" w:hAnsi="Bahnschrift"/>
          <w:sz w:val="22"/>
          <w:szCs w:val="22"/>
          <w:lang w:val="it-IT"/>
        </w:rPr>
        <w:t xml:space="preserve">Hartimi i </w:t>
      </w:r>
      <w:r w:rsidRPr="00673917">
        <w:rPr>
          <w:rFonts w:ascii="Bahnschrift" w:hAnsi="Bahnschrift"/>
          <w:b/>
          <w:bCs/>
          <w:sz w:val="22"/>
          <w:szCs w:val="22"/>
          <w:lang w:val="it-IT"/>
        </w:rPr>
        <w:t>Planit Vendor të Arsimit</w:t>
      </w:r>
      <w:r w:rsidRPr="00673917">
        <w:rPr>
          <w:rFonts w:ascii="Bahnschrift" w:hAnsi="Bahnschrift"/>
          <w:sz w:val="22"/>
          <w:szCs w:val="22"/>
          <w:lang w:val="it-IT"/>
        </w:rPr>
        <w:t xml:space="preserve"> për të adresuar uljen e pjesëmarrjes dhe shpërndarjen e pabarabartë të shërbimit.</w:t>
      </w:r>
    </w:p>
    <w:p w14:paraId="757BD6CE" w14:textId="77777777" w:rsidR="00673917" w:rsidRPr="00673917" w:rsidRDefault="00673917" w:rsidP="00673917">
      <w:pPr>
        <w:pStyle w:val="NormalWeb"/>
        <w:numPr>
          <w:ilvl w:val="0"/>
          <w:numId w:val="40"/>
        </w:numPr>
        <w:spacing w:line="240" w:lineRule="auto"/>
        <w:rPr>
          <w:rFonts w:ascii="Bahnschrift" w:hAnsi="Bahnschrift"/>
          <w:sz w:val="22"/>
          <w:szCs w:val="22"/>
          <w:lang w:val="it-IT"/>
        </w:rPr>
      </w:pPr>
      <w:r w:rsidRPr="00673917">
        <w:rPr>
          <w:rFonts w:ascii="Bahnschrift" w:hAnsi="Bahnschrift"/>
          <w:sz w:val="22"/>
          <w:szCs w:val="22"/>
          <w:lang w:val="it-IT"/>
        </w:rPr>
        <w:t>Analizë territoriale për riorganizimin e kopshteve dhe çerdhes në funksion të kërkesës reale.</w:t>
      </w:r>
    </w:p>
    <w:p w14:paraId="2AEC8523" w14:textId="77777777" w:rsidR="00673917" w:rsidRPr="00673917" w:rsidRDefault="00673917" w:rsidP="00673917">
      <w:pPr>
        <w:pStyle w:val="NormalWeb"/>
        <w:numPr>
          <w:ilvl w:val="0"/>
          <w:numId w:val="40"/>
        </w:numPr>
        <w:spacing w:line="240" w:lineRule="auto"/>
        <w:rPr>
          <w:rFonts w:ascii="Bahnschrift" w:hAnsi="Bahnschrift"/>
          <w:sz w:val="22"/>
          <w:szCs w:val="22"/>
          <w:lang w:val="it-IT"/>
        </w:rPr>
      </w:pPr>
      <w:r w:rsidRPr="00673917">
        <w:rPr>
          <w:rFonts w:ascii="Bahnschrift" w:hAnsi="Bahnschrift"/>
          <w:sz w:val="22"/>
          <w:szCs w:val="22"/>
          <w:lang w:val="it-IT"/>
        </w:rPr>
        <w:t>Modele të reja shërbimi për zonat e thella: transport i dedikuar, klasa satelit ose qendra komunitare.</w:t>
      </w:r>
    </w:p>
    <w:p w14:paraId="4EBC638F" w14:textId="77777777" w:rsidR="00673917" w:rsidRPr="00673917" w:rsidRDefault="00673917" w:rsidP="00673917">
      <w:pPr>
        <w:rPr>
          <w:rFonts w:ascii="Bahnschrift" w:hAnsi="Bahnschrift"/>
          <w:sz w:val="22"/>
          <w:szCs w:val="22"/>
          <w:lang w:val="it-IT"/>
        </w:rPr>
      </w:pPr>
      <w:r w:rsidRPr="00673917">
        <w:rPr>
          <w:rFonts w:ascii="Bahnschrift" w:hAnsi="Bahnschrift"/>
          <w:sz w:val="22"/>
          <w:szCs w:val="22"/>
          <w:lang w:val="it-IT"/>
        </w:rPr>
        <w:lastRenderedPageBreak/>
        <w:t>2. Financat Vendore</w:t>
      </w:r>
    </w:p>
    <w:p w14:paraId="2C44489B" w14:textId="77777777" w:rsidR="00673917" w:rsidRPr="00673917" w:rsidRDefault="00673917" w:rsidP="00673917">
      <w:pPr>
        <w:pStyle w:val="NormalWeb"/>
        <w:numPr>
          <w:ilvl w:val="0"/>
          <w:numId w:val="41"/>
        </w:numPr>
        <w:spacing w:line="240" w:lineRule="auto"/>
        <w:rPr>
          <w:rFonts w:ascii="Bahnschrift" w:hAnsi="Bahnschrift"/>
          <w:sz w:val="22"/>
          <w:szCs w:val="22"/>
          <w:lang w:val="it-IT"/>
        </w:rPr>
      </w:pPr>
      <w:r w:rsidRPr="00673917">
        <w:rPr>
          <w:rFonts w:ascii="Bahnschrift" w:hAnsi="Bahnschrift"/>
          <w:sz w:val="22"/>
          <w:szCs w:val="22"/>
          <w:lang w:val="it-IT"/>
        </w:rPr>
        <w:t>Rritje e bazës së të ardhurave vendore, veçanërisht për taksën e pasurisë dhe tarifat e shërbimeve.</w:t>
      </w:r>
    </w:p>
    <w:p w14:paraId="52A22C1D" w14:textId="77777777" w:rsidR="00673917" w:rsidRPr="00673917" w:rsidRDefault="00673917" w:rsidP="00673917">
      <w:pPr>
        <w:pStyle w:val="NormalWeb"/>
        <w:numPr>
          <w:ilvl w:val="0"/>
          <w:numId w:val="41"/>
        </w:numPr>
        <w:spacing w:line="240" w:lineRule="auto"/>
        <w:rPr>
          <w:rFonts w:ascii="Bahnschrift" w:hAnsi="Bahnschrift"/>
          <w:sz w:val="22"/>
          <w:szCs w:val="22"/>
          <w:lang w:val="it-IT"/>
        </w:rPr>
      </w:pPr>
      <w:r w:rsidRPr="00673917">
        <w:rPr>
          <w:rFonts w:ascii="Bahnschrift" w:hAnsi="Bahnschrift"/>
          <w:sz w:val="22"/>
          <w:szCs w:val="22"/>
          <w:lang w:val="it-IT"/>
        </w:rPr>
        <w:t>Përforcim i kapaciteteve për planifikim dhe kontroll buxhetor në njësitë administrative.</w:t>
      </w:r>
    </w:p>
    <w:p w14:paraId="32832B27" w14:textId="77777777" w:rsidR="00673917" w:rsidRPr="00673917" w:rsidRDefault="00673917" w:rsidP="00673917">
      <w:pPr>
        <w:pStyle w:val="NormalWeb"/>
        <w:numPr>
          <w:ilvl w:val="0"/>
          <w:numId w:val="41"/>
        </w:numPr>
        <w:spacing w:line="240" w:lineRule="auto"/>
        <w:rPr>
          <w:rFonts w:ascii="Bahnschrift" w:hAnsi="Bahnschrift"/>
          <w:sz w:val="22"/>
          <w:szCs w:val="22"/>
          <w:lang w:val="it-IT"/>
        </w:rPr>
      </w:pPr>
      <w:r w:rsidRPr="00673917">
        <w:rPr>
          <w:rFonts w:ascii="Bahnschrift" w:hAnsi="Bahnschrift"/>
          <w:sz w:val="22"/>
          <w:szCs w:val="22"/>
          <w:lang w:val="it-IT"/>
        </w:rPr>
        <w:t>Mbajtje e nivelit të ulët të detyrimeve të prapambetura dhe monitorim më i rreptë i kostove operacionale.</w:t>
      </w:r>
    </w:p>
    <w:p w14:paraId="6D1B501B" w14:textId="77777777" w:rsidR="00673917" w:rsidRPr="00673917" w:rsidRDefault="00673917" w:rsidP="00673917">
      <w:pPr>
        <w:rPr>
          <w:rFonts w:ascii="Bahnschrift" w:hAnsi="Bahnschrift"/>
          <w:sz w:val="22"/>
          <w:szCs w:val="22"/>
          <w:lang w:val="it-IT"/>
        </w:rPr>
      </w:pPr>
      <w:r w:rsidRPr="00673917">
        <w:rPr>
          <w:rFonts w:ascii="Bahnschrift" w:hAnsi="Bahnschrift"/>
          <w:sz w:val="22"/>
          <w:szCs w:val="22"/>
          <w:lang w:val="it-IT"/>
        </w:rPr>
        <w:t>3. Ujitja dhe Kullimi</w:t>
      </w:r>
    </w:p>
    <w:p w14:paraId="4BDD0CF3" w14:textId="77777777" w:rsidR="00673917" w:rsidRPr="00673917" w:rsidRDefault="00673917" w:rsidP="00673917">
      <w:pPr>
        <w:pStyle w:val="NormalWeb"/>
        <w:numPr>
          <w:ilvl w:val="0"/>
          <w:numId w:val="42"/>
        </w:numPr>
        <w:spacing w:line="240" w:lineRule="auto"/>
        <w:rPr>
          <w:rFonts w:ascii="Bahnschrift" w:hAnsi="Bahnschrift"/>
          <w:sz w:val="22"/>
          <w:szCs w:val="22"/>
          <w:lang w:val="it-IT"/>
        </w:rPr>
      </w:pPr>
      <w:r w:rsidRPr="00673917">
        <w:rPr>
          <w:rFonts w:ascii="Bahnschrift" w:hAnsi="Bahnschrift"/>
          <w:sz w:val="22"/>
          <w:szCs w:val="22"/>
          <w:lang w:val="it-IT"/>
        </w:rPr>
        <w:t>Përdorim i hartave të riskut dhe inventarëve ekzistues për të prioritarizuar kanalet me ndikimin më të madh në bujqësi.</w:t>
      </w:r>
    </w:p>
    <w:p w14:paraId="7A46AAE7" w14:textId="77777777" w:rsidR="00673917" w:rsidRPr="00673917" w:rsidRDefault="00673917" w:rsidP="00673917">
      <w:pPr>
        <w:pStyle w:val="NormalWeb"/>
        <w:numPr>
          <w:ilvl w:val="0"/>
          <w:numId w:val="42"/>
        </w:numPr>
        <w:spacing w:line="240" w:lineRule="auto"/>
        <w:rPr>
          <w:rFonts w:ascii="Bahnschrift" w:hAnsi="Bahnschrift"/>
          <w:sz w:val="22"/>
          <w:szCs w:val="22"/>
          <w:lang w:val="it-IT"/>
        </w:rPr>
      </w:pPr>
      <w:r w:rsidRPr="00673917">
        <w:rPr>
          <w:rFonts w:ascii="Bahnschrift" w:hAnsi="Bahnschrift"/>
          <w:sz w:val="22"/>
          <w:szCs w:val="22"/>
          <w:lang w:val="it-IT"/>
        </w:rPr>
        <w:t>Rritje e burimeve financiare për mirëmbajtjen vjetore, sidomos në zonat e ulëta ku bllokimet janë të shpeshta.</w:t>
      </w:r>
    </w:p>
    <w:p w14:paraId="04175DF4" w14:textId="77777777" w:rsidR="00673917" w:rsidRPr="00673917" w:rsidRDefault="00673917" w:rsidP="00673917">
      <w:pPr>
        <w:pStyle w:val="NormalWeb"/>
        <w:numPr>
          <w:ilvl w:val="0"/>
          <w:numId w:val="42"/>
        </w:numPr>
        <w:spacing w:line="240" w:lineRule="auto"/>
        <w:rPr>
          <w:rFonts w:ascii="Bahnschrift" w:hAnsi="Bahnschrift"/>
          <w:sz w:val="22"/>
          <w:szCs w:val="22"/>
          <w:lang w:val="it-IT"/>
        </w:rPr>
      </w:pPr>
      <w:r w:rsidRPr="00673917">
        <w:rPr>
          <w:rFonts w:ascii="Bahnschrift" w:hAnsi="Bahnschrift"/>
          <w:sz w:val="22"/>
          <w:szCs w:val="22"/>
          <w:lang w:val="it-IT"/>
        </w:rPr>
        <w:t>Bashkëpunim me fermerët për identifikimin e dëmtimeve dhe planifikimin sezonal.</w:t>
      </w:r>
    </w:p>
    <w:p w14:paraId="0F7BFAD6" w14:textId="77777777" w:rsidR="00673917" w:rsidRPr="00673917" w:rsidRDefault="00673917" w:rsidP="00673917">
      <w:pPr>
        <w:rPr>
          <w:rFonts w:ascii="Bahnschrift" w:hAnsi="Bahnschrift"/>
          <w:sz w:val="22"/>
          <w:szCs w:val="22"/>
          <w:lang w:val="it-IT"/>
        </w:rPr>
      </w:pPr>
      <w:r w:rsidRPr="00673917">
        <w:rPr>
          <w:rFonts w:ascii="Bahnschrift" w:hAnsi="Bahnschrift"/>
          <w:sz w:val="22"/>
          <w:szCs w:val="22"/>
          <w:lang w:val="it-IT"/>
        </w:rPr>
        <w:t>4. Mbetjet</w:t>
      </w:r>
    </w:p>
    <w:p w14:paraId="2252A921" w14:textId="77777777" w:rsidR="00673917" w:rsidRPr="00673917" w:rsidRDefault="00673917" w:rsidP="00673917">
      <w:pPr>
        <w:pStyle w:val="NormalWeb"/>
        <w:numPr>
          <w:ilvl w:val="0"/>
          <w:numId w:val="43"/>
        </w:numPr>
        <w:spacing w:line="240" w:lineRule="auto"/>
        <w:rPr>
          <w:rFonts w:ascii="Bahnschrift" w:hAnsi="Bahnschrift"/>
          <w:sz w:val="22"/>
          <w:szCs w:val="22"/>
          <w:lang w:val="it-IT"/>
        </w:rPr>
      </w:pPr>
      <w:r w:rsidRPr="00673917">
        <w:rPr>
          <w:rFonts w:ascii="Bahnschrift" w:hAnsi="Bahnschrift"/>
          <w:sz w:val="22"/>
          <w:szCs w:val="22"/>
          <w:lang w:val="it-IT"/>
        </w:rPr>
        <w:t>Forcim i planit të mbledhjes së mbetjeve për njësitë malore ku kostot janë më të larta.</w:t>
      </w:r>
    </w:p>
    <w:p w14:paraId="582F121B" w14:textId="77777777" w:rsidR="00673917" w:rsidRPr="00673917" w:rsidRDefault="00673917" w:rsidP="00673917">
      <w:pPr>
        <w:pStyle w:val="NormalWeb"/>
        <w:numPr>
          <w:ilvl w:val="0"/>
          <w:numId w:val="43"/>
        </w:numPr>
        <w:spacing w:line="240" w:lineRule="auto"/>
        <w:rPr>
          <w:rFonts w:ascii="Bahnschrift" w:hAnsi="Bahnschrift"/>
          <w:sz w:val="22"/>
          <w:szCs w:val="22"/>
          <w:lang w:val="it-IT"/>
        </w:rPr>
      </w:pPr>
      <w:r w:rsidRPr="00673917">
        <w:rPr>
          <w:rFonts w:ascii="Bahnschrift" w:hAnsi="Bahnschrift"/>
          <w:sz w:val="22"/>
          <w:szCs w:val="22"/>
          <w:lang w:val="it-IT"/>
        </w:rPr>
        <w:t>Vendosje e pikave të grumbullimit ndërmjetës në zonat e largëta.</w:t>
      </w:r>
    </w:p>
    <w:p w14:paraId="20D67BB7" w14:textId="77777777" w:rsidR="00673917" w:rsidRPr="00673917" w:rsidRDefault="00673917" w:rsidP="00673917">
      <w:pPr>
        <w:pStyle w:val="NormalWeb"/>
        <w:numPr>
          <w:ilvl w:val="0"/>
          <w:numId w:val="43"/>
        </w:numPr>
        <w:spacing w:line="240" w:lineRule="auto"/>
        <w:rPr>
          <w:rFonts w:ascii="Bahnschrift" w:hAnsi="Bahnschrift"/>
          <w:sz w:val="22"/>
          <w:szCs w:val="22"/>
          <w:lang w:val="it-IT"/>
        </w:rPr>
      </w:pPr>
      <w:r w:rsidRPr="00673917">
        <w:rPr>
          <w:rFonts w:ascii="Bahnschrift" w:hAnsi="Bahnschrift"/>
          <w:sz w:val="22"/>
          <w:szCs w:val="22"/>
          <w:lang w:val="it-IT"/>
        </w:rPr>
        <w:t>Fushata ndërgjegjësimi në fshatra për reduktimin e hedhjes së mbetjeve në natyrë.</w:t>
      </w:r>
    </w:p>
    <w:p w14:paraId="5F54D027" w14:textId="77777777" w:rsidR="00673917" w:rsidRPr="00673917" w:rsidRDefault="00673917" w:rsidP="00673917">
      <w:pPr>
        <w:rPr>
          <w:rFonts w:ascii="Bahnschrift" w:hAnsi="Bahnschrift"/>
          <w:sz w:val="22"/>
          <w:szCs w:val="22"/>
          <w:lang w:val="it-IT"/>
        </w:rPr>
      </w:pPr>
      <w:r w:rsidRPr="00673917">
        <w:rPr>
          <w:rFonts w:ascii="Bahnschrift" w:hAnsi="Bahnschrift"/>
          <w:sz w:val="22"/>
          <w:szCs w:val="22"/>
          <w:lang w:val="it-IT"/>
        </w:rPr>
        <w:t>5. Pyjet, Kullotat dhe Zjarret</w:t>
      </w:r>
    </w:p>
    <w:p w14:paraId="53C25C9B" w14:textId="77777777" w:rsidR="00673917" w:rsidRPr="00673917" w:rsidRDefault="00673917" w:rsidP="00673917">
      <w:pPr>
        <w:pStyle w:val="NormalWeb"/>
        <w:numPr>
          <w:ilvl w:val="0"/>
          <w:numId w:val="44"/>
        </w:numPr>
        <w:spacing w:line="240" w:lineRule="auto"/>
        <w:rPr>
          <w:rFonts w:ascii="Bahnschrift" w:hAnsi="Bahnschrift"/>
          <w:sz w:val="22"/>
          <w:szCs w:val="22"/>
          <w:lang w:val="it-IT"/>
        </w:rPr>
      </w:pPr>
      <w:r w:rsidRPr="00673917">
        <w:rPr>
          <w:rFonts w:ascii="Bahnschrift" w:hAnsi="Bahnschrift"/>
          <w:sz w:val="22"/>
          <w:szCs w:val="22"/>
          <w:lang w:val="it-IT"/>
        </w:rPr>
        <w:t>Rritje e kapaciteteve të terrenit për monitorim dhe inspektim.</w:t>
      </w:r>
    </w:p>
    <w:p w14:paraId="62678A7C" w14:textId="77777777" w:rsidR="00673917" w:rsidRPr="00673917" w:rsidRDefault="00673917" w:rsidP="00673917">
      <w:pPr>
        <w:pStyle w:val="NormalWeb"/>
        <w:numPr>
          <w:ilvl w:val="0"/>
          <w:numId w:val="44"/>
        </w:numPr>
        <w:spacing w:line="240" w:lineRule="auto"/>
        <w:rPr>
          <w:rFonts w:ascii="Bahnschrift" w:hAnsi="Bahnschrift"/>
          <w:sz w:val="22"/>
          <w:szCs w:val="22"/>
          <w:lang w:val="it-IT"/>
        </w:rPr>
      </w:pPr>
      <w:r w:rsidRPr="00673917">
        <w:rPr>
          <w:rFonts w:ascii="Bahnschrift" w:hAnsi="Bahnschrift"/>
          <w:sz w:val="22"/>
          <w:szCs w:val="22"/>
          <w:lang w:val="it-IT"/>
        </w:rPr>
        <w:t>Plan sezonal për parandalimin e zjarreve dhe monitorim të kullotave me risk të lartë.</w:t>
      </w:r>
    </w:p>
    <w:p w14:paraId="3938B1A1" w14:textId="77777777" w:rsidR="00673917" w:rsidRPr="00673917" w:rsidRDefault="00673917" w:rsidP="00673917">
      <w:pPr>
        <w:pStyle w:val="NormalWeb"/>
        <w:numPr>
          <w:ilvl w:val="0"/>
          <w:numId w:val="44"/>
        </w:numPr>
        <w:spacing w:line="240" w:lineRule="auto"/>
        <w:rPr>
          <w:rFonts w:ascii="Bahnschrift" w:hAnsi="Bahnschrift"/>
          <w:sz w:val="22"/>
          <w:szCs w:val="22"/>
          <w:lang w:val="it-IT"/>
        </w:rPr>
      </w:pPr>
      <w:r w:rsidRPr="00673917">
        <w:rPr>
          <w:rFonts w:ascii="Bahnschrift" w:hAnsi="Bahnschrift"/>
          <w:sz w:val="22"/>
          <w:szCs w:val="22"/>
          <w:lang w:val="it-IT"/>
        </w:rPr>
        <w:t>Trajnime për rojet pyjore dhe koordinim më të fortë me AKZM.</w:t>
      </w:r>
    </w:p>
    <w:p w14:paraId="4F034D9F" w14:textId="77777777" w:rsidR="00673917" w:rsidRPr="00673917" w:rsidRDefault="00673917" w:rsidP="00673917">
      <w:pPr>
        <w:rPr>
          <w:rFonts w:ascii="Bahnschrift" w:hAnsi="Bahnschrift"/>
          <w:sz w:val="22"/>
          <w:szCs w:val="22"/>
          <w:lang w:val="it-IT"/>
        </w:rPr>
      </w:pPr>
      <w:r w:rsidRPr="00673917">
        <w:rPr>
          <w:rFonts w:ascii="Bahnschrift" w:hAnsi="Bahnschrift"/>
          <w:sz w:val="22"/>
          <w:szCs w:val="22"/>
          <w:lang w:val="it-IT"/>
        </w:rPr>
        <w:t>6. Mbrojtja Sociale</w:t>
      </w:r>
    </w:p>
    <w:p w14:paraId="4CC5A853" w14:textId="77777777" w:rsidR="00673917" w:rsidRPr="00673917" w:rsidRDefault="00673917" w:rsidP="00673917">
      <w:pPr>
        <w:pStyle w:val="NormalWeb"/>
        <w:numPr>
          <w:ilvl w:val="0"/>
          <w:numId w:val="45"/>
        </w:numPr>
        <w:spacing w:line="240" w:lineRule="auto"/>
        <w:rPr>
          <w:rFonts w:ascii="Bahnschrift" w:hAnsi="Bahnschrift"/>
          <w:sz w:val="22"/>
          <w:szCs w:val="22"/>
          <w:lang w:val="it-IT"/>
        </w:rPr>
      </w:pPr>
      <w:r w:rsidRPr="00673917">
        <w:rPr>
          <w:rFonts w:ascii="Bahnschrift" w:hAnsi="Bahnschrift"/>
          <w:sz w:val="22"/>
          <w:szCs w:val="22"/>
          <w:lang w:val="it-IT"/>
        </w:rPr>
        <w:t>Hartim i profilit të vulnerabilitetit të bashkisë për të targetuar më mirë mbështetjen.</w:t>
      </w:r>
    </w:p>
    <w:p w14:paraId="55D750A4" w14:textId="77777777" w:rsidR="00673917" w:rsidRPr="00673917" w:rsidRDefault="00673917" w:rsidP="00673917">
      <w:pPr>
        <w:pStyle w:val="NormalWeb"/>
        <w:numPr>
          <w:ilvl w:val="0"/>
          <w:numId w:val="45"/>
        </w:numPr>
        <w:spacing w:line="240" w:lineRule="auto"/>
        <w:rPr>
          <w:rFonts w:ascii="Bahnschrift" w:hAnsi="Bahnschrift"/>
          <w:sz w:val="22"/>
          <w:szCs w:val="22"/>
          <w:lang w:val="it-IT"/>
        </w:rPr>
      </w:pPr>
      <w:r w:rsidRPr="00673917">
        <w:rPr>
          <w:rFonts w:ascii="Bahnschrift" w:hAnsi="Bahnschrift"/>
          <w:sz w:val="22"/>
          <w:szCs w:val="22"/>
          <w:lang w:val="it-IT"/>
        </w:rPr>
        <w:t>Rritje e bashkëpunimit me Qendrat e Shërbimit Social në nivel qarku.</w:t>
      </w:r>
    </w:p>
    <w:p w14:paraId="403D9146" w14:textId="77777777" w:rsidR="00673917" w:rsidRPr="00673917" w:rsidRDefault="00673917" w:rsidP="00673917">
      <w:pPr>
        <w:pStyle w:val="NormalWeb"/>
        <w:numPr>
          <w:ilvl w:val="0"/>
          <w:numId w:val="45"/>
        </w:numPr>
        <w:spacing w:line="240" w:lineRule="auto"/>
        <w:rPr>
          <w:rFonts w:ascii="Bahnschrift" w:hAnsi="Bahnschrift"/>
          <w:sz w:val="22"/>
          <w:szCs w:val="22"/>
          <w:lang w:val="it-IT"/>
        </w:rPr>
      </w:pPr>
      <w:r w:rsidRPr="00673917">
        <w:rPr>
          <w:rFonts w:ascii="Bahnschrift" w:hAnsi="Bahnschrift"/>
          <w:sz w:val="22"/>
          <w:szCs w:val="22"/>
          <w:lang w:val="it-IT"/>
        </w:rPr>
        <w:t>Mundësi për zhvillime të shërbimeve komunitare në fshatra të mëdha.</w:t>
      </w:r>
    </w:p>
    <w:p w14:paraId="14FB0146" w14:textId="77777777" w:rsidR="00673917" w:rsidRPr="00673917" w:rsidRDefault="00673917" w:rsidP="00673917">
      <w:pPr>
        <w:rPr>
          <w:rFonts w:ascii="Bahnschrift" w:hAnsi="Bahnschrift"/>
          <w:sz w:val="22"/>
          <w:szCs w:val="22"/>
          <w:lang w:val="it-IT"/>
        </w:rPr>
      </w:pPr>
      <w:r w:rsidRPr="00673917">
        <w:rPr>
          <w:rFonts w:ascii="Bahnschrift" w:hAnsi="Bahnschrift"/>
          <w:sz w:val="22"/>
          <w:szCs w:val="22"/>
          <w:lang w:val="it-IT"/>
        </w:rPr>
        <w:t>7. Burimet Njerëzore</w:t>
      </w:r>
    </w:p>
    <w:p w14:paraId="6E8C4C6C" w14:textId="77777777" w:rsidR="00673917" w:rsidRPr="00673917" w:rsidRDefault="00673917" w:rsidP="00673917">
      <w:pPr>
        <w:pStyle w:val="NormalWeb"/>
        <w:numPr>
          <w:ilvl w:val="0"/>
          <w:numId w:val="46"/>
        </w:numPr>
        <w:spacing w:line="240" w:lineRule="auto"/>
        <w:rPr>
          <w:rFonts w:ascii="Bahnschrift" w:hAnsi="Bahnschrift"/>
          <w:sz w:val="22"/>
          <w:szCs w:val="22"/>
          <w:lang w:val="it-IT"/>
        </w:rPr>
      </w:pPr>
      <w:r w:rsidRPr="00673917">
        <w:rPr>
          <w:rFonts w:ascii="Bahnschrift" w:hAnsi="Bahnschrift"/>
          <w:sz w:val="22"/>
          <w:szCs w:val="22"/>
          <w:lang w:val="it-IT"/>
        </w:rPr>
        <w:t>Trajnime për përdorimin e SMP dhe interpretimin e të dhënave të performancës.</w:t>
      </w:r>
    </w:p>
    <w:p w14:paraId="175CB0EA" w14:textId="77777777" w:rsidR="00673917" w:rsidRPr="00673917" w:rsidRDefault="00673917" w:rsidP="00673917">
      <w:pPr>
        <w:pStyle w:val="NormalWeb"/>
        <w:numPr>
          <w:ilvl w:val="0"/>
          <w:numId w:val="46"/>
        </w:numPr>
        <w:spacing w:line="240" w:lineRule="auto"/>
        <w:rPr>
          <w:rFonts w:ascii="Bahnschrift" w:hAnsi="Bahnschrift"/>
          <w:sz w:val="22"/>
          <w:szCs w:val="22"/>
          <w:lang w:val="it-IT"/>
        </w:rPr>
      </w:pPr>
      <w:r w:rsidRPr="00673917">
        <w:rPr>
          <w:rFonts w:ascii="Bahnschrift" w:hAnsi="Bahnschrift"/>
          <w:sz w:val="22"/>
          <w:szCs w:val="22"/>
          <w:lang w:val="it-IT"/>
        </w:rPr>
        <w:t>Rritje e rolit analitik të Njësisë së Performancës brenda bashkisë.</w:t>
      </w:r>
    </w:p>
    <w:p w14:paraId="59FBC737" w14:textId="77777777" w:rsidR="00673917" w:rsidRPr="00673917" w:rsidRDefault="00673917" w:rsidP="00673917">
      <w:pPr>
        <w:rPr>
          <w:rFonts w:ascii="Bahnschrift" w:hAnsi="Bahnschrift"/>
          <w:sz w:val="22"/>
          <w:szCs w:val="22"/>
          <w:lang w:val="it-IT"/>
        </w:rPr>
      </w:pPr>
      <w:r w:rsidRPr="00673917">
        <w:rPr>
          <w:rFonts w:ascii="Bahnschrift" w:hAnsi="Bahnschrift"/>
          <w:sz w:val="22"/>
          <w:szCs w:val="22"/>
          <w:lang w:val="it-IT"/>
        </w:rPr>
        <w:t>8. Transparenca dhe Qeverisja e Mirë</w:t>
      </w:r>
    </w:p>
    <w:p w14:paraId="2B166A64" w14:textId="77777777" w:rsidR="00673917" w:rsidRPr="00673917" w:rsidRDefault="00673917" w:rsidP="00673917">
      <w:pPr>
        <w:pStyle w:val="NormalWeb"/>
        <w:numPr>
          <w:ilvl w:val="0"/>
          <w:numId w:val="47"/>
        </w:numPr>
        <w:spacing w:line="240" w:lineRule="auto"/>
        <w:rPr>
          <w:rFonts w:ascii="Bahnschrift" w:hAnsi="Bahnschrift"/>
          <w:sz w:val="22"/>
          <w:szCs w:val="22"/>
          <w:lang w:val="it-IT"/>
        </w:rPr>
      </w:pPr>
      <w:r w:rsidRPr="00673917">
        <w:rPr>
          <w:rFonts w:ascii="Bahnschrift" w:hAnsi="Bahnschrift"/>
          <w:sz w:val="22"/>
          <w:szCs w:val="22"/>
          <w:lang w:val="it-IT"/>
        </w:rPr>
        <w:t>Përditësim më i rregullt i rubrikave të transparencës në faqen zyrtare.</w:t>
      </w:r>
    </w:p>
    <w:p w14:paraId="15FC36E7" w14:textId="77777777" w:rsidR="00673917" w:rsidRPr="00673917" w:rsidRDefault="00673917" w:rsidP="00673917">
      <w:pPr>
        <w:pStyle w:val="NormalWeb"/>
        <w:numPr>
          <w:ilvl w:val="0"/>
          <w:numId w:val="47"/>
        </w:numPr>
        <w:spacing w:line="240" w:lineRule="auto"/>
        <w:rPr>
          <w:rFonts w:ascii="Bahnschrift" w:hAnsi="Bahnschrift"/>
          <w:sz w:val="22"/>
          <w:szCs w:val="22"/>
          <w:lang w:val="it-IT"/>
        </w:rPr>
      </w:pPr>
      <w:r w:rsidRPr="00673917">
        <w:rPr>
          <w:rFonts w:ascii="Bahnschrift" w:hAnsi="Bahnschrift"/>
          <w:sz w:val="22"/>
          <w:szCs w:val="22"/>
          <w:lang w:val="it-IT"/>
        </w:rPr>
        <w:t>Nxitje e konsultimeve publike dhe publikim paraprak i dokumenteve të rëndësishme.</w:t>
      </w:r>
    </w:p>
    <w:p w14:paraId="07D2F4B8" w14:textId="77777777" w:rsidR="00673917" w:rsidRPr="00673917" w:rsidRDefault="00673917" w:rsidP="00673917">
      <w:pPr>
        <w:pStyle w:val="NormalWeb"/>
        <w:numPr>
          <w:ilvl w:val="0"/>
          <w:numId w:val="47"/>
        </w:numPr>
        <w:spacing w:line="240" w:lineRule="auto"/>
        <w:rPr>
          <w:rFonts w:ascii="Bahnschrift" w:hAnsi="Bahnschrift"/>
          <w:sz w:val="22"/>
          <w:szCs w:val="22"/>
          <w:lang w:val="it-IT"/>
        </w:rPr>
      </w:pPr>
      <w:r w:rsidRPr="00673917">
        <w:rPr>
          <w:rFonts w:ascii="Bahnschrift" w:hAnsi="Bahnschrift"/>
          <w:sz w:val="22"/>
          <w:szCs w:val="22"/>
          <w:lang w:val="it-IT"/>
        </w:rPr>
        <w:t>Krijim i mekanizmave të reagimit të qytetarëve në mënyrë të standardizuar.</w:t>
      </w:r>
    </w:p>
    <w:p w14:paraId="4302DE2E" w14:textId="77777777" w:rsidR="00673917" w:rsidRPr="00673917" w:rsidRDefault="00673917" w:rsidP="00673917">
      <w:pPr>
        <w:rPr>
          <w:rFonts w:ascii="Bahnschrift" w:hAnsi="Bahnschrift"/>
          <w:sz w:val="22"/>
          <w:szCs w:val="22"/>
          <w:lang w:val="it-IT"/>
        </w:rPr>
      </w:pPr>
      <w:r w:rsidRPr="00673917">
        <w:rPr>
          <w:rFonts w:ascii="Bahnschrift" w:hAnsi="Bahnschrift"/>
          <w:sz w:val="22"/>
          <w:szCs w:val="22"/>
          <w:lang w:val="it-IT"/>
        </w:rPr>
        <w:lastRenderedPageBreak/>
        <w:t>9. Barazia Gjinore</w:t>
      </w:r>
    </w:p>
    <w:p w14:paraId="60127269" w14:textId="77777777" w:rsidR="00673917" w:rsidRPr="00673917" w:rsidRDefault="00673917" w:rsidP="00673917">
      <w:pPr>
        <w:pStyle w:val="NormalWeb"/>
        <w:numPr>
          <w:ilvl w:val="0"/>
          <w:numId w:val="48"/>
        </w:numPr>
        <w:spacing w:line="240" w:lineRule="auto"/>
        <w:rPr>
          <w:rFonts w:ascii="Bahnschrift" w:hAnsi="Bahnschrift"/>
          <w:sz w:val="22"/>
          <w:szCs w:val="22"/>
          <w:lang w:val="it-IT"/>
        </w:rPr>
      </w:pPr>
      <w:r w:rsidRPr="00673917">
        <w:rPr>
          <w:rFonts w:ascii="Bahnschrift" w:hAnsi="Bahnschrift"/>
          <w:sz w:val="22"/>
          <w:szCs w:val="22"/>
          <w:lang w:val="it-IT"/>
        </w:rPr>
        <w:t>Hartim i një plani vendor për barazinë gjinore dhe përfshirjen sociale.</w:t>
      </w:r>
    </w:p>
    <w:p w14:paraId="3EBC0EF8" w14:textId="77777777" w:rsidR="00673917" w:rsidRPr="00673917" w:rsidRDefault="00673917" w:rsidP="00673917">
      <w:pPr>
        <w:pStyle w:val="NormalWeb"/>
        <w:numPr>
          <w:ilvl w:val="0"/>
          <w:numId w:val="48"/>
        </w:numPr>
        <w:spacing w:line="240" w:lineRule="auto"/>
        <w:rPr>
          <w:rFonts w:ascii="Bahnschrift" w:hAnsi="Bahnschrift"/>
          <w:sz w:val="22"/>
          <w:szCs w:val="22"/>
          <w:lang w:val="it-IT"/>
        </w:rPr>
      </w:pPr>
      <w:r w:rsidRPr="00673917">
        <w:rPr>
          <w:rFonts w:ascii="Bahnschrift" w:hAnsi="Bahnschrift"/>
          <w:sz w:val="22"/>
          <w:szCs w:val="22"/>
          <w:lang w:val="it-IT"/>
        </w:rPr>
        <w:t>Mbledhje dhe analizë e të dhënave të disagreguara gjinore në të gjitha shërbimet.</w:t>
      </w:r>
    </w:p>
    <w:p w14:paraId="4F971E5A" w14:textId="77777777" w:rsidR="00673917" w:rsidRPr="00673917" w:rsidRDefault="00673917" w:rsidP="00673917">
      <w:pPr>
        <w:pStyle w:val="NormalWeb"/>
        <w:numPr>
          <w:ilvl w:val="0"/>
          <w:numId w:val="48"/>
        </w:numPr>
        <w:spacing w:line="240" w:lineRule="auto"/>
        <w:rPr>
          <w:rFonts w:ascii="Bahnschrift" w:hAnsi="Bahnschrift"/>
          <w:sz w:val="22"/>
          <w:szCs w:val="22"/>
          <w:lang w:val="it-IT"/>
        </w:rPr>
      </w:pPr>
      <w:r w:rsidRPr="00673917">
        <w:rPr>
          <w:rFonts w:ascii="Bahnschrift" w:hAnsi="Bahnschrift"/>
          <w:sz w:val="22"/>
          <w:szCs w:val="22"/>
          <w:lang w:val="it-IT"/>
        </w:rPr>
        <w:t>Iniciativa lokale për angazhimin e grave në ekonomi dhe vendimmarrje.</w:t>
      </w:r>
    </w:p>
    <w:p w14:paraId="73744FDD" w14:textId="77777777" w:rsidR="00673917" w:rsidRPr="00673917" w:rsidRDefault="00673917" w:rsidP="00673917">
      <w:pPr>
        <w:rPr>
          <w:rFonts w:ascii="Bahnschrift" w:hAnsi="Bahnschrift"/>
          <w:sz w:val="22"/>
          <w:szCs w:val="22"/>
          <w:lang w:val="it-IT"/>
        </w:rPr>
      </w:pPr>
      <w:r w:rsidRPr="00673917">
        <w:rPr>
          <w:rFonts w:ascii="Bahnschrift" w:hAnsi="Bahnschrift"/>
          <w:sz w:val="22"/>
          <w:szCs w:val="22"/>
          <w:lang w:val="it-IT"/>
        </w:rPr>
        <w:t>10. Integrimi në BE</w:t>
      </w:r>
    </w:p>
    <w:p w14:paraId="5028C413" w14:textId="77777777" w:rsidR="00673917" w:rsidRPr="00673917" w:rsidRDefault="00673917" w:rsidP="00673917">
      <w:pPr>
        <w:pStyle w:val="NormalWeb"/>
        <w:numPr>
          <w:ilvl w:val="0"/>
          <w:numId w:val="49"/>
        </w:numPr>
        <w:spacing w:line="240" w:lineRule="auto"/>
        <w:rPr>
          <w:rFonts w:ascii="Bahnschrift" w:hAnsi="Bahnschrift"/>
          <w:sz w:val="22"/>
          <w:szCs w:val="22"/>
          <w:lang w:val="it-IT"/>
        </w:rPr>
      </w:pPr>
      <w:r w:rsidRPr="00673917">
        <w:rPr>
          <w:rFonts w:ascii="Bahnschrift" w:hAnsi="Bahnschrift"/>
          <w:sz w:val="22"/>
          <w:szCs w:val="22"/>
          <w:lang w:val="it-IT"/>
        </w:rPr>
        <w:t>Aplikim më aktiv në thirrjet IPA dhe programe të tjera ndërkufitare.</w:t>
      </w:r>
    </w:p>
    <w:p w14:paraId="46F6F13B" w14:textId="77777777" w:rsidR="00673917" w:rsidRPr="00673917" w:rsidRDefault="00673917" w:rsidP="00673917">
      <w:pPr>
        <w:pStyle w:val="NormalWeb"/>
        <w:numPr>
          <w:ilvl w:val="0"/>
          <w:numId w:val="49"/>
        </w:numPr>
        <w:spacing w:line="240" w:lineRule="auto"/>
        <w:rPr>
          <w:rFonts w:ascii="Bahnschrift" w:hAnsi="Bahnschrift"/>
          <w:sz w:val="22"/>
          <w:szCs w:val="22"/>
          <w:lang w:val="it-IT"/>
        </w:rPr>
      </w:pPr>
      <w:r w:rsidRPr="00673917">
        <w:rPr>
          <w:rFonts w:ascii="Bahnschrift" w:hAnsi="Bahnschrift"/>
          <w:sz w:val="22"/>
          <w:szCs w:val="22"/>
          <w:lang w:val="it-IT"/>
        </w:rPr>
        <w:t>Përshtatje e dokumenteve të planifikimit me kërkesat e BE-së dhe standardet sektoriale.</w:t>
      </w:r>
    </w:p>
    <w:p w14:paraId="0A914698" w14:textId="77777777" w:rsidR="00673917" w:rsidRPr="00673917" w:rsidRDefault="00673917" w:rsidP="00673917">
      <w:pPr>
        <w:pStyle w:val="NormalWeb"/>
        <w:numPr>
          <w:ilvl w:val="0"/>
          <w:numId w:val="49"/>
        </w:numPr>
        <w:spacing w:line="240" w:lineRule="auto"/>
        <w:rPr>
          <w:rFonts w:ascii="Bahnschrift" w:hAnsi="Bahnschrift"/>
          <w:sz w:val="22"/>
          <w:szCs w:val="22"/>
          <w:lang w:val="it-IT"/>
        </w:rPr>
      </w:pPr>
      <w:r w:rsidRPr="00673917">
        <w:rPr>
          <w:rFonts w:ascii="Bahnschrift" w:hAnsi="Bahnschrift"/>
          <w:sz w:val="22"/>
          <w:szCs w:val="22"/>
          <w:lang w:val="it-IT"/>
        </w:rPr>
        <w:t>Trajnime për stafin mbi kërkesat e acquis për funksionet e bashkisë.</w:t>
      </w:r>
    </w:p>
    <w:p w14:paraId="16BE5B70" w14:textId="294E534C" w:rsidR="00C84B6F" w:rsidRPr="00673917" w:rsidRDefault="00C84B6F" w:rsidP="006A5352">
      <w:pPr>
        <w:rPr>
          <w:rFonts w:ascii="Bahnschrift" w:hAnsi="Bahnschrift"/>
          <w:sz w:val="22"/>
          <w:szCs w:val="22"/>
          <w:lang w:val="it-IT"/>
        </w:rPr>
      </w:pPr>
    </w:p>
    <w:sectPr w:rsidR="00C84B6F" w:rsidRPr="00673917" w:rsidSect="00FD5B42">
      <w:footerReference w:type="default" r:id="rId5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06F9C" w14:textId="77777777" w:rsidR="003814C2" w:rsidRDefault="003814C2">
      <w:r>
        <w:separator/>
      </w:r>
    </w:p>
  </w:endnote>
  <w:endnote w:type="continuationSeparator" w:id="0">
    <w:p w14:paraId="389FCD5F" w14:textId="77777777" w:rsidR="003814C2" w:rsidRDefault="0038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ntonSans">
    <w:altName w:val="Cambria"/>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994139"/>
      <w:docPartObj>
        <w:docPartGallery w:val="Page Numbers (Bottom of Page)"/>
        <w:docPartUnique/>
      </w:docPartObj>
    </w:sdtPr>
    <w:sdtEndPr/>
    <w:sdtContent>
      <w:p w14:paraId="52B723A4" w14:textId="77777777" w:rsidR="004915AB" w:rsidRDefault="004915AB">
        <w:pPr>
          <w:pStyle w:val="Footer"/>
          <w:jc w:val="right"/>
        </w:pPr>
        <w:r w:rsidRPr="003F44D2">
          <w:rPr>
            <w:rFonts w:ascii="Bahnschrift" w:hAnsi="Bahnschrift"/>
            <w:sz w:val="22"/>
            <w:szCs w:val="22"/>
          </w:rPr>
          <w:fldChar w:fldCharType="begin"/>
        </w:r>
        <w:r w:rsidRPr="003F44D2">
          <w:rPr>
            <w:rFonts w:ascii="Bahnschrift" w:hAnsi="Bahnschrift"/>
            <w:sz w:val="22"/>
            <w:szCs w:val="22"/>
          </w:rPr>
          <w:instrText xml:space="preserve"> PAGE   \* MERGEFORMAT </w:instrText>
        </w:r>
        <w:r w:rsidRPr="003F44D2">
          <w:rPr>
            <w:rFonts w:ascii="Bahnschrift" w:hAnsi="Bahnschrift"/>
            <w:sz w:val="22"/>
            <w:szCs w:val="22"/>
          </w:rPr>
          <w:fldChar w:fldCharType="separate"/>
        </w:r>
        <w:r w:rsidR="00086459">
          <w:rPr>
            <w:rFonts w:ascii="Bahnschrift" w:hAnsi="Bahnschrift"/>
            <w:noProof/>
            <w:sz w:val="22"/>
            <w:szCs w:val="22"/>
          </w:rPr>
          <w:t>10</w:t>
        </w:r>
        <w:r w:rsidRPr="003F44D2">
          <w:rPr>
            <w:rFonts w:ascii="Bahnschrift" w:hAnsi="Bahnschrift"/>
            <w:noProof/>
            <w:sz w:val="22"/>
            <w:szCs w:val="22"/>
          </w:rPr>
          <w:fldChar w:fldCharType="end"/>
        </w:r>
      </w:p>
    </w:sdtContent>
  </w:sdt>
  <w:p w14:paraId="56DF24F1" w14:textId="77777777" w:rsidR="004915AB" w:rsidRDefault="004915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30FD7" w14:textId="77777777" w:rsidR="003814C2" w:rsidRDefault="003814C2">
      <w:r>
        <w:separator/>
      </w:r>
    </w:p>
  </w:footnote>
  <w:footnote w:type="continuationSeparator" w:id="0">
    <w:p w14:paraId="0EE4AB37" w14:textId="77777777" w:rsidR="003814C2" w:rsidRDefault="003814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0231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8337DF"/>
    <w:multiLevelType w:val="multilevel"/>
    <w:tmpl w:val="565EC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7B14D06"/>
    <w:multiLevelType w:val="multilevel"/>
    <w:tmpl w:val="4A62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735E0"/>
    <w:multiLevelType w:val="multilevel"/>
    <w:tmpl w:val="0ED4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12F6C"/>
    <w:multiLevelType w:val="multilevel"/>
    <w:tmpl w:val="F1EC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65CCC"/>
    <w:multiLevelType w:val="multilevel"/>
    <w:tmpl w:val="A828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5B5A83"/>
    <w:multiLevelType w:val="multilevel"/>
    <w:tmpl w:val="2B64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330C1A"/>
    <w:multiLevelType w:val="multilevel"/>
    <w:tmpl w:val="F0C8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E64BC9"/>
    <w:multiLevelType w:val="multilevel"/>
    <w:tmpl w:val="5FA6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836CA"/>
    <w:multiLevelType w:val="multilevel"/>
    <w:tmpl w:val="3DFC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341E5B"/>
    <w:multiLevelType w:val="multilevel"/>
    <w:tmpl w:val="9EC6B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6D0F4A"/>
    <w:multiLevelType w:val="multilevel"/>
    <w:tmpl w:val="7E90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791206"/>
    <w:multiLevelType w:val="hybridMultilevel"/>
    <w:tmpl w:val="65C814E6"/>
    <w:lvl w:ilvl="0" w:tplc="910C026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85B71E1"/>
    <w:multiLevelType w:val="hybridMultilevel"/>
    <w:tmpl w:val="FAE25DE6"/>
    <w:lvl w:ilvl="0" w:tplc="440E4B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A922FD"/>
    <w:multiLevelType w:val="multilevel"/>
    <w:tmpl w:val="E7CA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0E5B05"/>
    <w:multiLevelType w:val="multilevel"/>
    <w:tmpl w:val="2F9A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84669D"/>
    <w:multiLevelType w:val="multilevel"/>
    <w:tmpl w:val="E332B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620204C"/>
    <w:multiLevelType w:val="multilevel"/>
    <w:tmpl w:val="9B7C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88708F"/>
    <w:multiLevelType w:val="multilevel"/>
    <w:tmpl w:val="ECAA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9D2728"/>
    <w:multiLevelType w:val="multilevel"/>
    <w:tmpl w:val="CD04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7A7E8F"/>
    <w:multiLevelType w:val="multilevel"/>
    <w:tmpl w:val="0522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546FE7"/>
    <w:multiLevelType w:val="multilevel"/>
    <w:tmpl w:val="5E8A3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CF38A0"/>
    <w:multiLevelType w:val="multilevel"/>
    <w:tmpl w:val="22E8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674C10"/>
    <w:multiLevelType w:val="multilevel"/>
    <w:tmpl w:val="74BC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3264CA"/>
    <w:multiLevelType w:val="multilevel"/>
    <w:tmpl w:val="C116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8C030F"/>
    <w:multiLevelType w:val="multilevel"/>
    <w:tmpl w:val="2348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1A581C"/>
    <w:multiLevelType w:val="multilevel"/>
    <w:tmpl w:val="D88A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2B4E4F"/>
    <w:multiLevelType w:val="multilevel"/>
    <w:tmpl w:val="ED5A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457928"/>
    <w:multiLevelType w:val="multilevel"/>
    <w:tmpl w:val="730A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6A0FF9"/>
    <w:multiLevelType w:val="hybridMultilevel"/>
    <w:tmpl w:val="5930ECF0"/>
    <w:lvl w:ilvl="0" w:tplc="B6EAE6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D62A05"/>
    <w:multiLevelType w:val="multilevel"/>
    <w:tmpl w:val="895E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FE7B3E"/>
    <w:multiLevelType w:val="multilevel"/>
    <w:tmpl w:val="7F08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A61BDA"/>
    <w:multiLevelType w:val="multilevel"/>
    <w:tmpl w:val="7012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FF6833"/>
    <w:multiLevelType w:val="multilevel"/>
    <w:tmpl w:val="84EA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514C9"/>
    <w:multiLevelType w:val="multilevel"/>
    <w:tmpl w:val="101C45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04D28BF"/>
    <w:multiLevelType w:val="multilevel"/>
    <w:tmpl w:val="9F82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7B1E7E"/>
    <w:multiLevelType w:val="multilevel"/>
    <w:tmpl w:val="11AC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67773E"/>
    <w:multiLevelType w:val="multilevel"/>
    <w:tmpl w:val="8914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874197"/>
    <w:multiLevelType w:val="multilevel"/>
    <w:tmpl w:val="EB86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3034C4"/>
    <w:multiLevelType w:val="multilevel"/>
    <w:tmpl w:val="F298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5B0620"/>
    <w:multiLevelType w:val="multilevel"/>
    <w:tmpl w:val="7996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3C066D"/>
    <w:multiLevelType w:val="multilevel"/>
    <w:tmpl w:val="5270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8B281B"/>
    <w:multiLevelType w:val="multilevel"/>
    <w:tmpl w:val="A82E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252083"/>
    <w:multiLevelType w:val="multilevel"/>
    <w:tmpl w:val="091A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207F10"/>
    <w:multiLevelType w:val="multilevel"/>
    <w:tmpl w:val="AF90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9E264E"/>
    <w:multiLevelType w:val="multilevel"/>
    <w:tmpl w:val="8E6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A23544"/>
    <w:multiLevelType w:val="multilevel"/>
    <w:tmpl w:val="61A80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A8F0869"/>
    <w:multiLevelType w:val="multilevel"/>
    <w:tmpl w:val="84F4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6"/>
  </w:num>
  <w:num w:numId="3">
    <w:abstractNumId w:val="1"/>
  </w:num>
  <w:num w:numId="4">
    <w:abstractNumId w:val="26"/>
  </w:num>
  <w:num w:numId="5">
    <w:abstractNumId w:val="23"/>
  </w:num>
  <w:num w:numId="6">
    <w:abstractNumId w:val="43"/>
  </w:num>
  <w:num w:numId="7">
    <w:abstractNumId w:val="10"/>
  </w:num>
  <w:num w:numId="8">
    <w:abstractNumId w:val="38"/>
  </w:num>
  <w:num w:numId="9">
    <w:abstractNumId w:val="37"/>
  </w:num>
  <w:num w:numId="10">
    <w:abstractNumId w:val="24"/>
  </w:num>
  <w:num w:numId="11">
    <w:abstractNumId w:val="44"/>
  </w:num>
  <w:num w:numId="12">
    <w:abstractNumId w:val="7"/>
  </w:num>
  <w:num w:numId="13">
    <w:abstractNumId w:val="32"/>
  </w:num>
  <w:num w:numId="14">
    <w:abstractNumId w:val="12"/>
  </w:num>
  <w:num w:numId="15">
    <w:abstractNumId w:val="0"/>
  </w:num>
  <w:num w:numId="16">
    <w:abstractNumId w:val="18"/>
  </w:num>
  <w:num w:numId="17">
    <w:abstractNumId w:val="28"/>
  </w:num>
  <w:num w:numId="18">
    <w:abstractNumId w:val="11"/>
  </w:num>
  <w:num w:numId="19">
    <w:abstractNumId w:val="46"/>
  </w:num>
  <w:num w:numId="20">
    <w:abstractNumId w:val="39"/>
  </w:num>
  <w:num w:numId="21">
    <w:abstractNumId w:val="20"/>
  </w:num>
  <w:num w:numId="22">
    <w:abstractNumId w:val="45"/>
  </w:num>
  <w:num w:numId="23">
    <w:abstractNumId w:val="33"/>
  </w:num>
  <w:num w:numId="24">
    <w:abstractNumId w:val="21"/>
  </w:num>
  <w:num w:numId="25">
    <w:abstractNumId w:val="22"/>
  </w:num>
  <w:num w:numId="26">
    <w:abstractNumId w:val="13"/>
  </w:num>
  <w:num w:numId="27">
    <w:abstractNumId w:val="34"/>
  </w:num>
  <w:num w:numId="28">
    <w:abstractNumId w:val="29"/>
  </w:num>
  <w:num w:numId="29">
    <w:abstractNumId w:val="8"/>
  </w:num>
  <w:num w:numId="30">
    <w:abstractNumId w:val="3"/>
  </w:num>
  <w:num w:numId="31">
    <w:abstractNumId w:val="6"/>
  </w:num>
  <w:num w:numId="32">
    <w:abstractNumId w:val="2"/>
  </w:num>
  <w:num w:numId="33">
    <w:abstractNumId w:val="30"/>
  </w:num>
  <w:num w:numId="34">
    <w:abstractNumId w:val="17"/>
  </w:num>
  <w:num w:numId="35">
    <w:abstractNumId w:val="42"/>
  </w:num>
  <w:num w:numId="36">
    <w:abstractNumId w:val="27"/>
  </w:num>
  <w:num w:numId="37">
    <w:abstractNumId w:val="31"/>
  </w:num>
  <w:num w:numId="38">
    <w:abstractNumId w:val="14"/>
  </w:num>
  <w:num w:numId="39">
    <w:abstractNumId w:val="15"/>
  </w:num>
  <w:num w:numId="40">
    <w:abstractNumId w:val="47"/>
  </w:num>
  <w:num w:numId="41">
    <w:abstractNumId w:val="36"/>
  </w:num>
  <w:num w:numId="42">
    <w:abstractNumId w:val="9"/>
  </w:num>
  <w:num w:numId="43">
    <w:abstractNumId w:val="4"/>
  </w:num>
  <w:num w:numId="44">
    <w:abstractNumId w:val="41"/>
  </w:num>
  <w:num w:numId="45">
    <w:abstractNumId w:val="5"/>
  </w:num>
  <w:num w:numId="46">
    <w:abstractNumId w:val="35"/>
  </w:num>
  <w:num w:numId="47">
    <w:abstractNumId w:val="25"/>
  </w:num>
  <w:num w:numId="48">
    <w:abstractNumId w:val="19"/>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13E"/>
    <w:rsid w:val="00003847"/>
    <w:rsid w:val="00006381"/>
    <w:rsid w:val="00011947"/>
    <w:rsid w:val="00043BCB"/>
    <w:rsid w:val="00052193"/>
    <w:rsid w:val="0005231A"/>
    <w:rsid w:val="0005544E"/>
    <w:rsid w:val="000667B1"/>
    <w:rsid w:val="00086459"/>
    <w:rsid w:val="000D0460"/>
    <w:rsid w:val="000F23B1"/>
    <w:rsid w:val="000F369C"/>
    <w:rsid w:val="001073A9"/>
    <w:rsid w:val="00117609"/>
    <w:rsid w:val="00121623"/>
    <w:rsid w:val="00127403"/>
    <w:rsid w:val="001410C8"/>
    <w:rsid w:val="00176AFD"/>
    <w:rsid w:val="00184C22"/>
    <w:rsid w:val="001B0773"/>
    <w:rsid w:val="001C4CA8"/>
    <w:rsid w:val="001D233C"/>
    <w:rsid w:val="001E2D85"/>
    <w:rsid w:val="001F51C4"/>
    <w:rsid w:val="00201495"/>
    <w:rsid w:val="00203ED8"/>
    <w:rsid w:val="002047E6"/>
    <w:rsid w:val="00206F67"/>
    <w:rsid w:val="00212134"/>
    <w:rsid w:val="0024193E"/>
    <w:rsid w:val="00244202"/>
    <w:rsid w:val="00245A3F"/>
    <w:rsid w:val="002610F1"/>
    <w:rsid w:val="0026396D"/>
    <w:rsid w:val="00263B29"/>
    <w:rsid w:val="0027517C"/>
    <w:rsid w:val="00275FE9"/>
    <w:rsid w:val="002A5606"/>
    <w:rsid w:val="002B6DFE"/>
    <w:rsid w:val="002C7FF9"/>
    <w:rsid w:val="002D3259"/>
    <w:rsid w:val="002D5FE2"/>
    <w:rsid w:val="002E3B7B"/>
    <w:rsid w:val="002F4F74"/>
    <w:rsid w:val="002F79A0"/>
    <w:rsid w:val="00303EDF"/>
    <w:rsid w:val="00307BA3"/>
    <w:rsid w:val="00313836"/>
    <w:rsid w:val="0033665D"/>
    <w:rsid w:val="00350EB9"/>
    <w:rsid w:val="00354EE7"/>
    <w:rsid w:val="00357003"/>
    <w:rsid w:val="00374E40"/>
    <w:rsid w:val="00380C21"/>
    <w:rsid w:val="003814C2"/>
    <w:rsid w:val="0038554E"/>
    <w:rsid w:val="00386CCD"/>
    <w:rsid w:val="003928E5"/>
    <w:rsid w:val="00396031"/>
    <w:rsid w:val="003A55BB"/>
    <w:rsid w:val="003F39E0"/>
    <w:rsid w:val="003F44D2"/>
    <w:rsid w:val="004011BD"/>
    <w:rsid w:val="00407269"/>
    <w:rsid w:val="0041137A"/>
    <w:rsid w:val="00425F07"/>
    <w:rsid w:val="004465CD"/>
    <w:rsid w:val="00446F00"/>
    <w:rsid w:val="00462B7A"/>
    <w:rsid w:val="00481A86"/>
    <w:rsid w:val="004915AB"/>
    <w:rsid w:val="00494686"/>
    <w:rsid w:val="004C03C0"/>
    <w:rsid w:val="004D2CAF"/>
    <w:rsid w:val="004D641E"/>
    <w:rsid w:val="004E12B4"/>
    <w:rsid w:val="004F47B4"/>
    <w:rsid w:val="00507181"/>
    <w:rsid w:val="0051276B"/>
    <w:rsid w:val="00535D7F"/>
    <w:rsid w:val="00544B89"/>
    <w:rsid w:val="005648A1"/>
    <w:rsid w:val="00571DD1"/>
    <w:rsid w:val="005747B5"/>
    <w:rsid w:val="005803A2"/>
    <w:rsid w:val="00597BF8"/>
    <w:rsid w:val="005A1AE1"/>
    <w:rsid w:val="005C75A0"/>
    <w:rsid w:val="005E5A6A"/>
    <w:rsid w:val="005F128A"/>
    <w:rsid w:val="005F2B57"/>
    <w:rsid w:val="00605D6D"/>
    <w:rsid w:val="006067CD"/>
    <w:rsid w:val="006222BE"/>
    <w:rsid w:val="00625F61"/>
    <w:rsid w:val="0063367A"/>
    <w:rsid w:val="006364ED"/>
    <w:rsid w:val="00641A64"/>
    <w:rsid w:val="0065601B"/>
    <w:rsid w:val="006674E2"/>
    <w:rsid w:val="00673917"/>
    <w:rsid w:val="00691436"/>
    <w:rsid w:val="00693595"/>
    <w:rsid w:val="006A5352"/>
    <w:rsid w:val="006A7D90"/>
    <w:rsid w:val="006D0AEF"/>
    <w:rsid w:val="006F0D85"/>
    <w:rsid w:val="006F55FE"/>
    <w:rsid w:val="0072113E"/>
    <w:rsid w:val="00736195"/>
    <w:rsid w:val="00741AA5"/>
    <w:rsid w:val="00746AFE"/>
    <w:rsid w:val="00747CDA"/>
    <w:rsid w:val="0078473A"/>
    <w:rsid w:val="007D577F"/>
    <w:rsid w:val="007E2167"/>
    <w:rsid w:val="007E309B"/>
    <w:rsid w:val="007E6B68"/>
    <w:rsid w:val="00802810"/>
    <w:rsid w:val="008054FC"/>
    <w:rsid w:val="00811398"/>
    <w:rsid w:val="00821946"/>
    <w:rsid w:val="00822B7D"/>
    <w:rsid w:val="00832D9D"/>
    <w:rsid w:val="00841994"/>
    <w:rsid w:val="00874AB9"/>
    <w:rsid w:val="00881CC5"/>
    <w:rsid w:val="00897E6B"/>
    <w:rsid w:val="008A669C"/>
    <w:rsid w:val="008B4059"/>
    <w:rsid w:val="008D0F61"/>
    <w:rsid w:val="008E07A6"/>
    <w:rsid w:val="008E2EB9"/>
    <w:rsid w:val="008F05B2"/>
    <w:rsid w:val="008F481A"/>
    <w:rsid w:val="00904F51"/>
    <w:rsid w:val="00931392"/>
    <w:rsid w:val="00945F45"/>
    <w:rsid w:val="0095061F"/>
    <w:rsid w:val="00961D56"/>
    <w:rsid w:val="009848F8"/>
    <w:rsid w:val="00992BC9"/>
    <w:rsid w:val="009A4930"/>
    <w:rsid w:val="009B3DAC"/>
    <w:rsid w:val="009D492D"/>
    <w:rsid w:val="009E7330"/>
    <w:rsid w:val="00A10FCF"/>
    <w:rsid w:val="00A14ACC"/>
    <w:rsid w:val="00A31583"/>
    <w:rsid w:val="00A31BBE"/>
    <w:rsid w:val="00A4226B"/>
    <w:rsid w:val="00A42D3B"/>
    <w:rsid w:val="00A45105"/>
    <w:rsid w:val="00A525EF"/>
    <w:rsid w:val="00A55E38"/>
    <w:rsid w:val="00A63010"/>
    <w:rsid w:val="00A64E27"/>
    <w:rsid w:val="00A66F35"/>
    <w:rsid w:val="00A92805"/>
    <w:rsid w:val="00A9345F"/>
    <w:rsid w:val="00AA0FD9"/>
    <w:rsid w:val="00AB0E71"/>
    <w:rsid w:val="00AC1D28"/>
    <w:rsid w:val="00AE6983"/>
    <w:rsid w:val="00AE6C93"/>
    <w:rsid w:val="00AE6FAE"/>
    <w:rsid w:val="00AF79E2"/>
    <w:rsid w:val="00B20DEB"/>
    <w:rsid w:val="00B2253D"/>
    <w:rsid w:val="00B25156"/>
    <w:rsid w:val="00B408B4"/>
    <w:rsid w:val="00B80E42"/>
    <w:rsid w:val="00B87ACA"/>
    <w:rsid w:val="00B973A2"/>
    <w:rsid w:val="00BB1E6E"/>
    <w:rsid w:val="00BB2ECC"/>
    <w:rsid w:val="00BC1077"/>
    <w:rsid w:val="00BD1BF4"/>
    <w:rsid w:val="00BD74CF"/>
    <w:rsid w:val="00BE1A16"/>
    <w:rsid w:val="00BF1CAF"/>
    <w:rsid w:val="00BF3B49"/>
    <w:rsid w:val="00BF52E3"/>
    <w:rsid w:val="00BF69F9"/>
    <w:rsid w:val="00C04177"/>
    <w:rsid w:val="00C060A6"/>
    <w:rsid w:val="00C06522"/>
    <w:rsid w:val="00C30B98"/>
    <w:rsid w:val="00C32548"/>
    <w:rsid w:val="00C35BCC"/>
    <w:rsid w:val="00C424F0"/>
    <w:rsid w:val="00C45131"/>
    <w:rsid w:val="00C77790"/>
    <w:rsid w:val="00C84B6F"/>
    <w:rsid w:val="00CA1FC8"/>
    <w:rsid w:val="00CB0FFE"/>
    <w:rsid w:val="00CB2ED2"/>
    <w:rsid w:val="00CC1A72"/>
    <w:rsid w:val="00CC3EBF"/>
    <w:rsid w:val="00CD4F00"/>
    <w:rsid w:val="00CD53D9"/>
    <w:rsid w:val="00CF0D09"/>
    <w:rsid w:val="00D06447"/>
    <w:rsid w:val="00D06DFE"/>
    <w:rsid w:val="00D24E87"/>
    <w:rsid w:val="00D2627D"/>
    <w:rsid w:val="00D3411E"/>
    <w:rsid w:val="00D34DF0"/>
    <w:rsid w:val="00D354A7"/>
    <w:rsid w:val="00D447F0"/>
    <w:rsid w:val="00D50E99"/>
    <w:rsid w:val="00D51AD0"/>
    <w:rsid w:val="00D61B6E"/>
    <w:rsid w:val="00D65CFE"/>
    <w:rsid w:val="00D66E13"/>
    <w:rsid w:val="00D70E35"/>
    <w:rsid w:val="00D7239C"/>
    <w:rsid w:val="00D77ADA"/>
    <w:rsid w:val="00D80D25"/>
    <w:rsid w:val="00D84BA9"/>
    <w:rsid w:val="00DB26F0"/>
    <w:rsid w:val="00DB411D"/>
    <w:rsid w:val="00DB4F6B"/>
    <w:rsid w:val="00DC0558"/>
    <w:rsid w:val="00DC1101"/>
    <w:rsid w:val="00DC2B92"/>
    <w:rsid w:val="00DE5A66"/>
    <w:rsid w:val="00DF5E32"/>
    <w:rsid w:val="00DF6179"/>
    <w:rsid w:val="00DF677D"/>
    <w:rsid w:val="00E04594"/>
    <w:rsid w:val="00E05F47"/>
    <w:rsid w:val="00E105F3"/>
    <w:rsid w:val="00E15293"/>
    <w:rsid w:val="00E26B2C"/>
    <w:rsid w:val="00E41773"/>
    <w:rsid w:val="00E4640E"/>
    <w:rsid w:val="00E51321"/>
    <w:rsid w:val="00E57ECF"/>
    <w:rsid w:val="00E608A8"/>
    <w:rsid w:val="00E720C2"/>
    <w:rsid w:val="00E873BC"/>
    <w:rsid w:val="00E96D83"/>
    <w:rsid w:val="00EA3B54"/>
    <w:rsid w:val="00EA3DF1"/>
    <w:rsid w:val="00EB35DC"/>
    <w:rsid w:val="00EB4A88"/>
    <w:rsid w:val="00EC3759"/>
    <w:rsid w:val="00EC5C34"/>
    <w:rsid w:val="00EF4557"/>
    <w:rsid w:val="00EF4599"/>
    <w:rsid w:val="00EF6B91"/>
    <w:rsid w:val="00F10E77"/>
    <w:rsid w:val="00F1581E"/>
    <w:rsid w:val="00F16F6D"/>
    <w:rsid w:val="00F4249A"/>
    <w:rsid w:val="00F51C0D"/>
    <w:rsid w:val="00F5560F"/>
    <w:rsid w:val="00FB6B82"/>
    <w:rsid w:val="00FC51F8"/>
    <w:rsid w:val="00FD00C1"/>
    <w:rsid w:val="00FD19C8"/>
    <w:rsid w:val="00FD5B42"/>
    <w:rsid w:val="00FD65D4"/>
    <w:rsid w:val="00FE35C2"/>
    <w:rsid w:val="00FE3FFD"/>
    <w:rsid w:val="00FF2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2670D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8A1"/>
  </w:style>
  <w:style w:type="paragraph" w:styleId="Heading1">
    <w:name w:val="heading 1"/>
    <w:basedOn w:val="Normal"/>
    <w:next w:val="Normal"/>
    <w:link w:val="Heading1Char"/>
    <w:uiPriority w:val="9"/>
    <w:qFormat/>
    <w:rsid w:val="005648A1"/>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648A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648A1"/>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5648A1"/>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5648A1"/>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unhideWhenUsed/>
    <w:qFormat/>
    <w:rsid w:val="005648A1"/>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648A1"/>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648A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48A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locked/>
    <w:rsid w:val="005648A1"/>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sid w:val="005648A1"/>
    <w:rPr>
      <w:caps/>
      <w:spacing w:val="15"/>
      <w:shd w:val="clear" w:color="auto" w:fill="D9E2F3" w:themeFill="accent1" w:themeFillTint="33"/>
    </w:rPr>
  </w:style>
  <w:style w:type="character" w:customStyle="1" w:styleId="Heading4Char">
    <w:name w:val="Heading 4 Char"/>
    <w:basedOn w:val="DefaultParagraphFont"/>
    <w:link w:val="Heading4"/>
    <w:uiPriority w:val="9"/>
    <w:locked/>
    <w:rsid w:val="005648A1"/>
    <w:rPr>
      <w:caps/>
      <w:color w:val="2F5496" w:themeColor="accent1" w:themeShade="BF"/>
      <w:spacing w:val="10"/>
    </w:rPr>
  </w:style>
  <w:style w:type="character" w:customStyle="1" w:styleId="Heading5Char">
    <w:name w:val="Heading 5 Char"/>
    <w:basedOn w:val="DefaultParagraphFont"/>
    <w:link w:val="Heading5"/>
    <w:uiPriority w:val="9"/>
    <w:locked/>
    <w:rsid w:val="005648A1"/>
    <w:rPr>
      <w:caps/>
      <w:color w:val="2F5496" w:themeColor="accent1" w:themeShade="BF"/>
      <w:spacing w:val="10"/>
    </w:rPr>
  </w:style>
  <w:style w:type="paragraph" w:customStyle="1" w:styleId="msonormal0">
    <w:name w:val="msonormal"/>
    <w:basedOn w:val="Normal"/>
    <w:uiPriority w:val="99"/>
    <w:semiHidden/>
    <w:pPr>
      <w:spacing w:beforeAutospacing="1" w:after="100" w:afterAutospacing="1"/>
    </w:pPr>
  </w:style>
  <w:style w:type="paragraph" w:styleId="NormalWeb">
    <w:name w:val="Normal (Web)"/>
    <w:basedOn w:val="Normal"/>
    <w:uiPriority w:val="99"/>
    <w:unhideWhenUsed/>
    <w:pPr>
      <w:spacing w:beforeAutospacing="1" w:after="100" w:afterAutospacing="1"/>
    </w:pPr>
  </w:style>
  <w:style w:type="paragraph" w:styleId="TOC2">
    <w:name w:val="toc 2"/>
    <w:basedOn w:val="Normal"/>
    <w:next w:val="Normal"/>
    <w:autoRedefine/>
    <w:uiPriority w:val="39"/>
    <w:unhideWhenUsed/>
    <w:pPr>
      <w:spacing w:after="100"/>
      <w:ind w:left="240"/>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styleId="TOCHeading">
    <w:name w:val="TOC Heading"/>
    <w:basedOn w:val="Heading1"/>
    <w:next w:val="Normal"/>
    <w:uiPriority w:val="39"/>
    <w:semiHidden/>
    <w:unhideWhenUsed/>
    <w:qFormat/>
    <w:rsid w:val="005648A1"/>
    <w:pPr>
      <w:outlineLvl w:val="9"/>
    </w:pPr>
  </w:style>
  <w:style w:type="paragraph" w:customStyle="1" w:styleId="text-danger">
    <w:name w:val="text-danger"/>
    <w:basedOn w:val="Normal"/>
    <w:uiPriority w:val="99"/>
    <w:semiHidden/>
    <w:pPr>
      <w:spacing w:beforeAutospacing="1" w:after="100" w:afterAutospacing="1"/>
    </w:pPr>
  </w:style>
  <w:style w:type="character" w:customStyle="1" w:styleId="text-center">
    <w:name w:val="text-center"/>
    <w:basedOn w:val="DefaultParagraphFont"/>
  </w:style>
  <w:style w:type="table" w:styleId="TableGrid">
    <w:name w:val="Table Grid"/>
    <w:basedOn w:val="TableNormal"/>
    <w:uiPriority w:val="39"/>
    <w:rPr>
      <w:rFonts w:ascii="BentonSans" w:eastAsiaTheme="minorHAnsi" w:hAnsi="BentonSans"/>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648A1"/>
    <w:rPr>
      <w:b/>
      <w:bCs/>
    </w:rPr>
  </w:style>
  <w:style w:type="paragraph" w:styleId="HTMLPreformatted">
    <w:name w:val="HTML Preformatted"/>
    <w:basedOn w:val="Normal"/>
    <w:link w:val="HTMLPreformattedChar"/>
    <w:uiPriority w:val="99"/>
    <w:semiHidden/>
    <w:unhideWhenUsed/>
    <w:rsid w:val="00622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6222BE"/>
    <w:rPr>
      <w:rFonts w:ascii="Courier New" w:hAnsi="Courier New" w:cs="Courier New"/>
    </w:rPr>
  </w:style>
  <w:style w:type="character" w:customStyle="1" w:styleId="y2iqfc">
    <w:name w:val="y2iqfc"/>
    <w:basedOn w:val="DefaultParagraphFont"/>
    <w:rsid w:val="006222BE"/>
  </w:style>
  <w:style w:type="table" w:customStyle="1" w:styleId="PlainTable3">
    <w:name w:val="Plain Table 3"/>
    <w:basedOn w:val="TableNormal"/>
    <w:uiPriority w:val="43"/>
    <w:rsid w:val="000F23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1">
    <w:name w:val="Grid Table 3 Accent 1"/>
    <w:basedOn w:val="TableNormal"/>
    <w:uiPriority w:val="48"/>
    <w:rsid w:val="000F23B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5DarkAccent3">
    <w:name w:val="Grid Table 5 Dark Accent 3"/>
    <w:basedOn w:val="TableNormal"/>
    <w:uiPriority w:val="50"/>
    <w:rsid w:val="000F23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3Accent5">
    <w:name w:val="Grid Table 3 Accent 5"/>
    <w:basedOn w:val="TableNormal"/>
    <w:uiPriority w:val="48"/>
    <w:rsid w:val="00A31BB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3">
    <w:name w:val="Grid Table 3 Accent 3"/>
    <w:basedOn w:val="TableNormal"/>
    <w:uiPriority w:val="48"/>
    <w:rsid w:val="00A31BB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3">
    <w:name w:val="Grid Table 7 Colorful Accent 3"/>
    <w:basedOn w:val="TableNormal"/>
    <w:uiPriority w:val="52"/>
    <w:rsid w:val="00A31BB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OC3">
    <w:name w:val="toc 3"/>
    <w:basedOn w:val="Normal"/>
    <w:next w:val="Normal"/>
    <w:autoRedefine/>
    <w:uiPriority w:val="39"/>
    <w:unhideWhenUsed/>
    <w:rsid w:val="0078473A"/>
    <w:pPr>
      <w:spacing w:after="100"/>
      <w:ind w:left="480"/>
    </w:pPr>
  </w:style>
  <w:style w:type="paragraph" w:styleId="TOC1">
    <w:name w:val="toc 1"/>
    <w:basedOn w:val="Normal"/>
    <w:next w:val="Normal"/>
    <w:autoRedefine/>
    <w:uiPriority w:val="39"/>
    <w:unhideWhenUsed/>
    <w:rsid w:val="00904F51"/>
    <w:pPr>
      <w:spacing w:after="100"/>
    </w:pPr>
  </w:style>
  <w:style w:type="paragraph" w:styleId="TOC4">
    <w:name w:val="toc 4"/>
    <w:basedOn w:val="Normal"/>
    <w:next w:val="Normal"/>
    <w:autoRedefine/>
    <w:uiPriority w:val="39"/>
    <w:unhideWhenUsed/>
    <w:rsid w:val="00904F51"/>
    <w:pPr>
      <w:spacing w:after="100" w:line="259" w:lineRule="auto"/>
      <w:ind w:left="660"/>
    </w:pPr>
    <w:rPr>
      <w:kern w:val="2"/>
      <w:sz w:val="22"/>
      <w:szCs w:val="22"/>
      <w14:ligatures w14:val="standardContextual"/>
    </w:rPr>
  </w:style>
  <w:style w:type="paragraph" w:styleId="TOC5">
    <w:name w:val="toc 5"/>
    <w:basedOn w:val="Normal"/>
    <w:next w:val="Normal"/>
    <w:autoRedefine/>
    <w:uiPriority w:val="39"/>
    <w:unhideWhenUsed/>
    <w:rsid w:val="00904F51"/>
    <w:pPr>
      <w:spacing w:after="100" w:line="259" w:lineRule="auto"/>
      <w:ind w:left="880"/>
    </w:pPr>
    <w:rPr>
      <w:kern w:val="2"/>
      <w:sz w:val="22"/>
      <w:szCs w:val="22"/>
      <w14:ligatures w14:val="standardContextual"/>
    </w:rPr>
  </w:style>
  <w:style w:type="paragraph" w:styleId="TOC6">
    <w:name w:val="toc 6"/>
    <w:basedOn w:val="Normal"/>
    <w:next w:val="Normal"/>
    <w:autoRedefine/>
    <w:uiPriority w:val="39"/>
    <w:unhideWhenUsed/>
    <w:rsid w:val="00904F51"/>
    <w:pPr>
      <w:spacing w:after="100" w:line="259" w:lineRule="auto"/>
      <w:ind w:left="1100"/>
    </w:pPr>
    <w:rPr>
      <w:kern w:val="2"/>
      <w:sz w:val="22"/>
      <w:szCs w:val="22"/>
      <w14:ligatures w14:val="standardContextual"/>
    </w:rPr>
  </w:style>
  <w:style w:type="paragraph" w:styleId="TOC7">
    <w:name w:val="toc 7"/>
    <w:basedOn w:val="Normal"/>
    <w:next w:val="Normal"/>
    <w:autoRedefine/>
    <w:uiPriority w:val="39"/>
    <w:unhideWhenUsed/>
    <w:rsid w:val="00904F51"/>
    <w:pPr>
      <w:spacing w:after="100" w:line="259" w:lineRule="auto"/>
      <w:ind w:left="1320"/>
    </w:pPr>
    <w:rPr>
      <w:kern w:val="2"/>
      <w:sz w:val="22"/>
      <w:szCs w:val="22"/>
      <w14:ligatures w14:val="standardContextual"/>
    </w:rPr>
  </w:style>
  <w:style w:type="paragraph" w:styleId="TOC8">
    <w:name w:val="toc 8"/>
    <w:basedOn w:val="Normal"/>
    <w:next w:val="Normal"/>
    <w:autoRedefine/>
    <w:uiPriority w:val="39"/>
    <w:unhideWhenUsed/>
    <w:rsid w:val="00904F51"/>
    <w:pPr>
      <w:spacing w:after="100" w:line="259" w:lineRule="auto"/>
      <w:ind w:left="1540"/>
    </w:pPr>
    <w:rPr>
      <w:kern w:val="2"/>
      <w:sz w:val="22"/>
      <w:szCs w:val="22"/>
      <w14:ligatures w14:val="standardContextual"/>
    </w:rPr>
  </w:style>
  <w:style w:type="paragraph" w:styleId="TOC9">
    <w:name w:val="toc 9"/>
    <w:basedOn w:val="Normal"/>
    <w:next w:val="Normal"/>
    <w:autoRedefine/>
    <w:uiPriority w:val="39"/>
    <w:unhideWhenUsed/>
    <w:rsid w:val="00904F51"/>
    <w:pPr>
      <w:spacing w:after="100" w:line="259" w:lineRule="auto"/>
      <w:ind w:left="1760"/>
    </w:pPr>
    <w:rPr>
      <w:kern w:val="2"/>
      <w:sz w:val="22"/>
      <w:szCs w:val="22"/>
      <w14:ligatures w14:val="standardContextual"/>
    </w:rPr>
  </w:style>
  <w:style w:type="character" w:customStyle="1" w:styleId="UnresolvedMention">
    <w:name w:val="Unresolved Mention"/>
    <w:basedOn w:val="DefaultParagraphFont"/>
    <w:uiPriority w:val="99"/>
    <w:semiHidden/>
    <w:unhideWhenUsed/>
    <w:rsid w:val="00904F51"/>
    <w:rPr>
      <w:color w:val="605E5C"/>
      <w:shd w:val="clear" w:color="auto" w:fill="E1DFDD"/>
    </w:rPr>
  </w:style>
  <w:style w:type="character" w:customStyle="1" w:styleId="Heading3Char">
    <w:name w:val="Heading 3 Char"/>
    <w:basedOn w:val="DefaultParagraphFont"/>
    <w:link w:val="Heading3"/>
    <w:uiPriority w:val="9"/>
    <w:semiHidden/>
    <w:rsid w:val="005648A1"/>
    <w:rPr>
      <w:caps/>
      <w:color w:val="1F3763" w:themeColor="accent1" w:themeShade="7F"/>
      <w:spacing w:val="15"/>
    </w:rPr>
  </w:style>
  <w:style w:type="character" w:customStyle="1" w:styleId="Heading6Char">
    <w:name w:val="Heading 6 Char"/>
    <w:basedOn w:val="DefaultParagraphFont"/>
    <w:link w:val="Heading6"/>
    <w:uiPriority w:val="9"/>
    <w:rsid w:val="005648A1"/>
    <w:rPr>
      <w:caps/>
      <w:color w:val="2F5496" w:themeColor="accent1" w:themeShade="BF"/>
      <w:spacing w:val="10"/>
    </w:rPr>
  </w:style>
  <w:style w:type="character" w:customStyle="1" w:styleId="Heading7Char">
    <w:name w:val="Heading 7 Char"/>
    <w:basedOn w:val="DefaultParagraphFont"/>
    <w:link w:val="Heading7"/>
    <w:uiPriority w:val="9"/>
    <w:semiHidden/>
    <w:rsid w:val="005648A1"/>
    <w:rPr>
      <w:caps/>
      <w:color w:val="2F5496" w:themeColor="accent1" w:themeShade="BF"/>
      <w:spacing w:val="10"/>
    </w:rPr>
  </w:style>
  <w:style w:type="character" w:customStyle="1" w:styleId="Heading8Char">
    <w:name w:val="Heading 8 Char"/>
    <w:basedOn w:val="DefaultParagraphFont"/>
    <w:link w:val="Heading8"/>
    <w:uiPriority w:val="9"/>
    <w:semiHidden/>
    <w:rsid w:val="005648A1"/>
    <w:rPr>
      <w:caps/>
      <w:spacing w:val="10"/>
      <w:sz w:val="18"/>
      <w:szCs w:val="18"/>
    </w:rPr>
  </w:style>
  <w:style w:type="character" w:customStyle="1" w:styleId="Heading9Char">
    <w:name w:val="Heading 9 Char"/>
    <w:basedOn w:val="DefaultParagraphFont"/>
    <w:link w:val="Heading9"/>
    <w:uiPriority w:val="9"/>
    <w:semiHidden/>
    <w:rsid w:val="005648A1"/>
    <w:rPr>
      <w:i/>
      <w:iCs/>
      <w:caps/>
      <w:spacing w:val="10"/>
      <w:sz w:val="18"/>
      <w:szCs w:val="18"/>
    </w:rPr>
  </w:style>
  <w:style w:type="paragraph" w:styleId="Caption">
    <w:name w:val="caption"/>
    <w:basedOn w:val="Normal"/>
    <w:next w:val="Normal"/>
    <w:uiPriority w:val="35"/>
    <w:semiHidden/>
    <w:unhideWhenUsed/>
    <w:qFormat/>
    <w:rsid w:val="005648A1"/>
    <w:rPr>
      <w:b/>
      <w:bCs/>
      <w:color w:val="2F5496" w:themeColor="accent1" w:themeShade="BF"/>
      <w:sz w:val="16"/>
      <w:szCs w:val="16"/>
    </w:rPr>
  </w:style>
  <w:style w:type="paragraph" w:styleId="Title">
    <w:name w:val="Title"/>
    <w:basedOn w:val="Normal"/>
    <w:next w:val="Normal"/>
    <w:link w:val="TitleChar"/>
    <w:uiPriority w:val="10"/>
    <w:qFormat/>
    <w:rsid w:val="005648A1"/>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648A1"/>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648A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648A1"/>
    <w:rPr>
      <w:caps/>
      <w:color w:val="595959" w:themeColor="text1" w:themeTint="A6"/>
      <w:spacing w:val="10"/>
      <w:sz w:val="21"/>
      <w:szCs w:val="21"/>
    </w:rPr>
  </w:style>
  <w:style w:type="character" w:styleId="Emphasis">
    <w:name w:val="Emphasis"/>
    <w:uiPriority w:val="20"/>
    <w:qFormat/>
    <w:rsid w:val="005648A1"/>
    <w:rPr>
      <w:caps/>
      <w:color w:val="1F3763" w:themeColor="accent1" w:themeShade="7F"/>
      <w:spacing w:val="5"/>
    </w:rPr>
  </w:style>
  <w:style w:type="paragraph" w:styleId="NoSpacing">
    <w:name w:val="No Spacing"/>
    <w:uiPriority w:val="1"/>
    <w:qFormat/>
    <w:rsid w:val="005648A1"/>
    <w:pPr>
      <w:spacing w:after="0" w:line="240" w:lineRule="auto"/>
    </w:pPr>
  </w:style>
  <w:style w:type="paragraph" w:styleId="Quote">
    <w:name w:val="Quote"/>
    <w:basedOn w:val="Normal"/>
    <w:next w:val="Normal"/>
    <w:link w:val="QuoteChar"/>
    <w:uiPriority w:val="29"/>
    <w:qFormat/>
    <w:rsid w:val="005648A1"/>
    <w:rPr>
      <w:i/>
      <w:iCs/>
      <w:sz w:val="24"/>
      <w:szCs w:val="24"/>
    </w:rPr>
  </w:style>
  <w:style w:type="character" w:customStyle="1" w:styleId="QuoteChar">
    <w:name w:val="Quote Char"/>
    <w:basedOn w:val="DefaultParagraphFont"/>
    <w:link w:val="Quote"/>
    <w:uiPriority w:val="29"/>
    <w:rsid w:val="005648A1"/>
    <w:rPr>
      <w:i/>
      <w:iCs/>
      <w:sz w:val="24"/>
      <w:szCs w:val="24"/>
    </w:rPr>
  </w:style>
  <w:style w:type="paragraph" w:styleId="IntenseQuote">
    <w:name w:val="Intense Quote"/>
    <w:basedOn w:val="Normal"/>
    <w:next w:val="Normal"/>
    <w:link w:val="IntenseQuoteChar"/>
    <w:uiPriority w:val="30"/>
    <w:qFormat/>
    <w:rsid w:val="005648A1"/>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648A1"/>
    <w:rPr>
      <w:color w:val="4472C4" w:themeColor="accent1"/>
      <w:sz w:val="24"/>
      <w:szCs w:val="24"/>
    </w:rPr>
  </w:style>
  <w:style w:type="character" w:styleId="SubtleEmphasis">
    <w:name w:val="Subtle Emphasis"/>
    <w:uiPriority w:val="19"/>
    <w:qFormat/>
    <w:rsid w:val="005648A1"/>
    <w:rPr>
      <w:i/>
      <w:iCs/>
      <w:color w:val="1F3763" w:themeColor="accent1" w:themeShade="7F"/>
    </w:rPr>
  </w:style>
  <w:style w:type="character" w:styleId="IntenseEmphasis">
    <w:name w:val="Intense Emphasis"/>
    <w:uiPriority w:val="21"/>
    <w:qFormat/>
    <w:rsid w:val="005648A1"/>
    <w:rPr>
      <w:b/>
      <w:bCs/>
      <w:caps/>
      <w:color w:val="1F3763" w:themeColor="accent1" w:themeShade="7F"/>
      <w:spacing w:val="10"/>
    </w:rPr>
  </w:style>
  <w:style w:type="character" w:styleId="SubtleReference">
    <w:name w:val="Subtle Reference"/>
    <w:uiPriority w:val="31"/>
    <w:qFormat/>
    <w:rsid w:val="005648A1"/>
    <w:rPr>
      <w:b/>
      <w:bCs/>
      <w:color w:val="4472C4" w:themeColor="accent1"/>
    </w:rPr>
  </w:style>
  <w:style w:type="character" w:styleId="IntenseReference">
    <w:name w:val="Intense Reference"/>
    <w:uiPriority w:val="32"/>
    <w:qFormat/>
    <w:rsid w:val="005648A1"/>
    <w:rPr>
      <w:b/>
      <w:bCs/>
      <w:i/>
      <w:iCs/>
      <w:caps/>
      <w:color w:val="4472C4" w:themeColor="accent1"/>
    </w:rPr>
  </w:style>
  <w:style w:type="character" w:styleId="BookTitle">
    <w:name w:val="Book Title"/>
    <w:uiPriority w:val="33"/>
    <w:qFormat/>
    <w:rsid w:val="005648A1"/>
    <w:rPr>
      <w:b/>
      <w:bCs/>
      <w:i/>
      <w:iCs/>
      <w:spacing w:val="0"/>
    </w:rPr>
  </w:style>
  <w:style w:type="table" w:customStyle="1" w:styleId="ListTable2Accent1">
    <w:name w:val="List Table 2 Accent 1"/>
    <w:basedOn w:val="TableNormal"/>
    <w:uiPriority w:val="47"/>
    <w:rsid w:val="00245A3F"/>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Light">
    <w:name w:val="Grid Table Light"/>
    <w:basedOn w:val="TableNormal"/>
    <w:uiPriority w:val="40"/>
    <w:rsid w:val="00245A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5">
    <w:name w:val="Grid Table 4 Accent 5"/>
    <w:basedOn w:val="TableNormal"/>
    <w:uiPriority w:val="49"/>
    <w:rsid w:val="00245A3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2">
    <w:name w:val="Grid Table 4 Accent 2"/>
    <w:basedOn w:val="TableNormal"/>
    <w:uiPriority w:val="49"/>
    <w:rsid w:val="00245A3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2">
    <w:name w:val="List Table 6 Colorful Accent 2"/>
    <w:basedOn w:val="TableNormal"/>
    <w:uiPriority w:val="51"/>
    <w:rsid w:val="00245A3F"/>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275FE9"/>
    <w:rPr>
      <w:sz w:val="16"/>
      <w:szCs w:val="16"/>
    </w:rPr>
  </w:style>
  <w:style w:type="paragraph" w:styleId="CommentText">
    <w:name w:val="annotation text"/>
    <w:basedOn w:val="Normal"/>
    <w:link w:val="CommentTextChar"/>
    <w:uiPriority w:val="99"/>
    <w:semiHidden/>
    <w:unhideWhenUsed/>
    <w:rsid w:val="00275FE9"/>
    <w:pPr>
      <w:spacing w:before="0" w:after="160" w:line="240" w:lineRule="auto"/>
    </w:pPr>
    <w:rPr>
      <w:rFonts w:eastAsia="Calibri"/>
      <w:kern w:val="2"/>
      <w14:ligatures w14:val="standardContextual"/>
    </w:rPr>
  </w:style>
  <w:style w:type="character" w:customStyle="1" w:styleId="CommentTextChar">
    <w:name w:val="Comment Text Char"/>
    <w:basedOn w:val="DefaultParagraphFont"/>
    <w:link w:val="CommentText"/>
    <w:uiPriority w:val="99"/>
    <w:semiHidden/>
    <w:rsid w:val="00275FE9"/>
    <w:rPr>
      <w:rFonts w:eastAsia="Calibri"/>
      <w:kern w:val="2"/>
      <w14:ligatures w14:val="standardContextual"/>
    </w:rPr>
  </w:style>
  <w:style w:type="table" w:customStyle="1" w:styleId="TableGrid1">
    <w:name w:val="Table Grid1"/>
    <w:basedOn w:val="TableNormal"/>
    <w:next w:val="TableGrid"/>
    <w:uiPriority w:val="59"/>
    <w:rsid w:val="00D51AD0"/>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560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560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A560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B26F0"/>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26F0"/>
    <w:pPr>
      <w:ind w:left="720"/>
      <w:contextualSpacing/>
    </w:pPr>
  </w:style>
  <w:style w:type="paragraph" w:styleId="ListBullet">
    <w:name w:val="List Bullet"/>
    <w:basedOn w:val="Normal"/>
    <w:uiPriority w:val="99"/>
    <w:unhideWhenUsed/>
    <w:rsid w:val="00303EDF"/>
    <w:pPr>
      <w:numPr>
        <w:numId w:val="15"/>
      </w:numPr>
      <w:tabs>
        <w:tab w:val="clear" w:pos="360"/>
      </w:tabs>
      <w:spacing w:before="0"/>
      <w:ind w:left="0" w:firstLine="0"/>
      <w:contextualSpacing/>
    </w:pPr>
    <w:rPr>
      <w:sz w:val="22"/>
      <w:szCs w:val="22"/>
    </w:rPr>
  </w:style>
  <w:style w:type="table" w:customStyle="1" w:styleId="TableGrid6">
    <w:name w:val="Table Grid6"/>
    <w:basedOn w:val="TableNormal"/>
    <w:next w:val="TableGrid"/>
    <w:uiPriority w:val="39"/>
    <w:rsid w:val="00D50E99"/>
    <w:pPr>
      <w:spacing w:before="0" w:after="0" w:line="240" w:lineRule="auto"/>
    </w:pPr>
    <w:rPr>
      <w:rFonts w:eastAsia="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0AEF"/>
    <w:pPr>
      <w:spacing w:before="0" w:after="0" w:line="240" w:lineRule="auto"/>
    </w:pPr>
    <w:rPr>
      <w:rFonts w:eastAsia="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E7330"/>
    <w:pPr>
      <w:spacing w:before="100" w:after="200"/>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9E7330"/>
    <w:rPr>
      <w:rFonts w:eastAsia="Calibri"/>
      <w:b/>
      <w:bCs/>
      <w:kern w:val="2"/>
      <w14:ligatures w14:val="standardContextual"/>
    </w:rPr>
  </w:style>
  <w:style w:type="table" w:customStyle="1" w:styleId="ListTable5DarkAccent3">
    <w:name w:val="List Table 5 Dark Accent 3"/>
    <w:basedOn w:val="TableNormal"/>
    <w:uiPriority w:val="50"/>
    <w:rsid w:val="008B405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alloonText">
    <w:name w:val="Balloon Text"/>
    <w:basedOn w:val="Normal"/>
    <w:link w:val="BalloonTextChar"/>
    <w:uiPriority w:val="99"/>
    <w:semiHidden/>
    <w:unhideWhenUsed/>
    <w:rsid w:val="004915A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5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8A1"/>
  </w:style>
  <w:style w:type="paragraph" w:styleId="Heading1">
    <w:name w:val="heading 1"/>
    <w:basedOn w:val="Normal"/>
    <w:next w:val="Normal"/>
    <w:link w:val="Heading1Char"/>
    <w:uiPriority w:val="9"/>
    <w:qFormat/>
    <w:rsid w:val="005648A1"/>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648A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648A1"/>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5648A1"/>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5648A1"/>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unhideWhenUsed/>
    <w:qFormat/>
    <w:rsid w:val="005648A1"/>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648A1"/>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648A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48A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locked/>
    <w:rsid w:val="005648A1"/>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sid w:val="005648A1"/>
    <w:rPr>
      <w:caps/>
      <w:spacing w:val="15"/>
      <w:shd w:val="clear" w:color="auto" w:fill="D9E2F3" w:themeFill="accent1" w:themeFillTint="33"/>
    </w:rPr>
  </w:style>
  <w:style w:type="character" w:customStyle="1" w:styleId="Heading4Char">
    <w:name w:val="Heading 4 Char"/>
    <w:basedOn w:val="DefaultParagraphFont"/>
    <w:link w:val="Heading4"/>
    <w:uiPriority w:val="9"/>
    <w:locked/>
    <w:rsid w:val="005648A1"/>
    <w:rPr>
      <w:caps/>
      <w:color w:val="2F5496" w:themeColor="accent1" w:themeShade="BF"/>
      <w:spacing w:val="10"/>
    </w:rPr>
  </w:style>
  <w:style w:type="character" w:customStyle="1" w:styleId="Heading5Char">
    <w:name w:val="Heading 5 Char"/>
    <w:basedOn w:val="DefaultParagraphFont"/>
    <w:link w:val="Heading5"/>
    <w:uiPriority w:val="9"/>
    <w:locked/>
    <w:rsid w:val="005648A1"/>
    <w:rPr>
      <w:caps/>
      <w:color w:val="2F5496" w:themeColor="accent1" w:themeShade="BF"/>
      <w:spacing w:val="10"/>
    </w:rPr>
  </w:style>
  <w:style w:type="paragraph" w:customStyle="1" w:styleId="msonormal0">
    <w:name w:val="msonormal"/>
    <w:basedOn w:val="Normal"/>
    <w:uiPriority w:val="99"/>
    <w:semiHidden/>
    <w:pPr>
      <w:spacing w:beforeAutospacing="1" w:after="100" w:afterAutospacing="1"/>
    </w:pPr>
  </w:style>
  <w:style w:type="paragraph" w:styleId="NormalWeb">
    <w:name w:val="Normal (Web)"/>
    <w:basedOn w:val="Normal"/>
    <w:uiPriority w:val="99"/>
    <w:unhideWhenUsed/>
    <w:pPr>
      <w:spacing w:beforeAutospacing="1" w:after="100" w:afterAutospacing="1"/>
    </w:pPr>
  </w:style>
  <w:style w:type="paragraph" w:styleId="TOC2">
    <w:name w:val="toc 2"/>
    <w:basedOn w:val="Normal"/>
    <w:next w:val="Normal"/>
    <w:autoRedefine/>
    <w:uiPriority w:val="39"/>
    <w:unhideWhenUsed/>
    <w:pPr>
      <w:spacing w:after="100"/>
      <w:ind w:left="240"/>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styleId="TOCHeading">
    <w:name w:val="TOC Heading"/>
    <w:basedOn w:val="Heading1"/>
    <w:next w:val="Normal"/>
    <w:uiPriority w:val="39"/>
    <w:semiHidden/>
    <w:unhideWhenUsed/>
    <w:qFormat/>
    <w:rsid w:val="005648A1"/>
    <w:pPr>
      <w:outlineLvl w:val="9"/>
    </w:pPr>
  </w:style>
  <w:style w:type="paragraph" w:customStyle="1" w:styleId="text-danger">
    <w:name w:val="text-danger"/>
    <w:basedOn w:val="Normal"/>
    <w:uiPriority w:val="99"/>
    <w:semiHidden/>
    <w:pPr>
      <w:spacing w:beforeAutospacing="1" w:after="100" w:afterAutospacing="1"/>
    </w:pPr>
  </w:style>
  <w:style w:type="character" w:customStyle="1" w:styleId="text-center">
    <w:name w:val="text-center"/>
    <w:basedOn w:val="DefaultParagraphFont"/>
  </w:style>
  <w:style w:type="table" w:styleId="TableGrid">
    <w:name w:val="Table Grid"/>
    <w:basedOn w:val="TableNormal"/>
    <w:uiPriority w:val="39"/>
    <w:rPr>
      <w:rFonts w:ascii="BentonSans" w:eastAsiaTheme="minorHAnsi" w:hAnsi="BentonSans"/>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648A1"/>
    <w:rPr>
      <w:b/>
      <w:bCs/>
    </w:rPr>
  </w:style>
  <w:style w:type="paragraph" w:styleId="HTMLPreformatted">
    <w:name w:val="HTML Preformatted"/>
    <w:basedOn w:val="Normal"/>
    <w:link w:val="HTMLPreformattedChar"/>
    <w:uiPriority w:val="99"/>
    <w:semiHidden/>
    <w:unhideWhenUsed/>
    <w:rsid w:val="00622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6222BE"/>
    <w:rPr>
      <w:rFonts w:ascii="Courier New" w:hAnsi="Courier New" w:cs="Courier New"/>
    </w:rPr>
  </w:style>
  <w:style w:type="character" w:customStyle="1" w:styleId="y2iqfc">
    <w:name w:val="y2iqfc"/>
    <w:basedOn w:val="DefaultParagraphFont"/>
    <w:rsid w:val="006222BE"/>
  </w:style>
  <w:style w:type="table" w:customStyle="1" w:styleId="PlainTable3">
    <w:name w:val="Plain Table 3"/>
    <w:basedOn w:val="TableNormal"/>
    <w:uiPriority w:val="43"/>
    <w:rsid w:val="000F23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1">
    <w:name w:val="Grid Table 3 Accent 1"/>
    <w:basedOn w:val="TableNormal"/>
    <w:uiPriority w:val="48"/>
    <w:rsid w:val="000F23B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5DarkAccent3">
    <w:name w:val="Grid Table 5 Dark Accent 3"/>
    <w:basedOn w:val="TableNormal"/>
    <w:uiPriority w:val="50"/>
    <w:rsid w:val="000F23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3Accent5">
    <w:name w:val="Grid Table 3 Accent 5"/>
    <w:basedOn w:val="TableNormal"/>
    <w:uiPriority w:val="48"/>
    <w:rsid w:val="00A31BB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3">
    <w:name w:val="Grid Table 3 Accent 3"/>
    <w:basedOn w:val="TableNormal"/>
    <w:uiPriority w:val="48"/>
    <w:rsid w:val="00A31BB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3">
    <w:name w:val="Grid Table 7 Colorful Accent 3"/>
    <w:basedOn w:val="TableNormal"/>
    <w:uiPriority w:val="52"/>
    <w:rsid w:val="00A31BB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OC3">
    <w:name w:val="toc 3"/>
    <w:basedOn w:val="Normal"/>
    <w:next w:val="Normal"/>
    <w:autoRedefine/>
    <w:uiPriority w:val="39"/>
    <w:unhideWhenUsed/>
    <w:rsid w:val="0078473A"/>
    <w:pPr>
      <w:spacing w:after="100"/>
      <w:ind w:left="480"/>
    </w:pPr>
  </w:style>
  <w:style w:type="paragraph" w:styleId="TOC1">
    <w:name w:val="toc 1"/>
    <w:basedOn w:val="Normal"/>
    <w:next w:val="Normal"/>
    <w:autoRedefine/>
    <w:uiPriority w:val="39"/>
    <w:unhideWhenUsed/>
    <w:rsid w:val="00904F51"/>
    <w:pPr>
      <w:spacing w:after="100"/>
    </w:pPr>
  </w:style>
  <w:style w:type="paragraph" w:styleId="TOC4">
    <w:name w:val="toc 4"/>
    <w:basedOn w:val="Normal"/>
    <w:next w:val="Normal"/>
    <w:autoRedefine/>
    <w:uiPriority w:val="39"/>
    <w:unhideWhenUsed/>
    <w:rsid w:val="00904F51"/>
    <w:pPr>
      <w:spacing w:after="100" w:line="259" w:lineRule="auto"/>
      <w:ind w:left="660"/>
    </w:pPr>
    <w:rPr>
      <w:kern w:val="2"/>
      <w:sz w:val="22"/>
      <w:szCs w:val="22"/>
      <w14:ligatures w14:val="standardContextual"/>
    </w:rPr>
  </w:style>
  <w:style w:type="paragraph" w:styleId="TOC5">
    <w:name w:val="toc 5"/>
    <w:basedOn w:val="Normal"/>
    <w:next w:val="Normal"/>
    <w:autoRedefine/>
    <w:uiPriority w:val="39"/>
    <w:unhideWhenUsed/>
    <w:rsid w:val="00904F51"/>
    <w:pPr>
      <w:spacing w:after="100" w:line="259" w:lineRule="auto"/>
      <w:ind w:left="880"/>
    </w:pPr>
    <w:rPr>
      <w:kern w:val="2"/>
      <w:sz w:val="22"/>
      <w:szCs w:val="22"/>
      <w14:ligatures w14:val="standardContextual"/>
    </w:rPr>
  </w:style>
  <w:style w:type="paragraph" w:styleId="TOC6">
    <w:name w:val="toc 6"/>
    <w:basedOn w:val="Normal"/>
    <w:next w:val="Normal"/>
    <w:autoRedefine/>
    <w:uiPriority w:val="39"/>
    <w:unhideWhenUsed/>
    <w:rsid w:val="00904F51"/>
    <w:pPr>
      <w:spacing w:after="100" w:line="259" w:lineRule="auto"/>
      <w:ind w:left="1100"/>
    </w:pPr>
    <w:rPr>
      <w:kern w:val="2"/>
      <w:sz w:val="22"/>
      <w:szCs w:val="22"/>
      <w14:ligatures w14:val="standardContextual"/>
    </w:rPr>
  </w:style>
  <w:style w:type="paragraph" w:styleId="TOC7">
    <w:name w:val="toc 7"/>
    <w:basedOn w:val="Normal"/>
    <w:next w:val="Normal"/>
    <w:autoRedefine/>
    <w:uiPriority w:val="39"/>
    <w:unhideWhenUsed/>
    <w:rsid w:val="00904F51"/>
    <w:pPr>
      <w:spacing w:after="100" w:line="259" w:lineRule="auto"/>
      <w:ind w:left="1320"/>
    </w:pPr>
    <w:rPr>
      <w:kern w:val="2"/>
      <w:sz w:val="22"/>
      <w:szCs w:val="22"/>
      <w14:ligatures w14:val="standardContextual"/>
    </w:rPr>
  </w:style>
  <w:style w:type="paragraph" w:styleId="TOC8">
    <w:name w:val="toc 8"/>
    <w:basedOn w:val="Normal"/>
    <w:next w:val="Normal"/>
    <w:autoRedefine/>
    <w:uiPriority w:val="39"/>
    <w:unhideWhenUsed/>
    <w:rsid w:val="00904F51"/>
    <w:pPr>
      <w:spacing w:after="100" w:line="259" w:lineRule="auto"/>
      <w:ind w:left="1540"/>
    </w:pPr>
    <w:rPr>
      <w:kern w:val="2"/>
      <w:sz w:val="22"/>
      <w:szCs w:val="22"/>
      <w14:ligatures w14:val="standardContextual"/>
    </w:rPr>
  </w:style>
  <w:style w:type="paragraph" w:styleId="TOC9">
    <w:name w:val="toc 9"/>
    <w:basedOn w:val="Normal"/>
    <w:next w:val="Normal"/>
    <w:autoRedefine/>
    <w:uiPriority w:val="39"/>
    <w:unhideWhenUsed/>
    <w:rsid w:val="00904F51"/>
    <w:pPr>
      <w:spacing w:after="100" w:line="259" w:lineRule="auto"/>
      <w:ind w:left="1760"/>
    </w:pPr>
    <w:rPr>
      <w:kern w:val="2"/>
      <w:sz w:val="22"/>
      <w:szCs w:val="22"/>
      <w14:ligatures w14:val="standardContextual"/>
    </w:rPr>
  </w:style>
  <w:style w:type="character" w:customStyle="1" w:styleId="UnresolvedMention">
    <w:name w:val="Unresolved Mention"/>
    <w:basedOn w:val="DefaultParagraphFont"/>
    <w:uiPriority w:val="99"/>
    <w:semiHidden/>
    <w:unhideWhenUsed/>
    <w:rsid w:val="00904F51"/>
    <w:rPr>
      <w:color w:val="605E5C"/>
      <w:shd w:val="clear" w:color="auto" w:fill="E1DFDD"/>
    </w:rPr>
  </w:style>
  <w:style w:type="character" w:customStyle="1" w:styleId="Heading3Char">
    <w:name w:val="Heading 3 Char"/>
    <w:basedOn w:val="DefaultParagraphFont"/>
    <w:link w:val="Heading3"/>
    <w:uiPriority w:val="9"/>
    <w:semiHidden/>
    <w:rsid w:val="005648A1"/>
    <w:rPr>
      <w:caps/>
      <w:color w:val="1F3763" w:themeColor="accent1" w:themeShade="7F"/>
      <w:spacing w:val="15"/>
    </w:rPr>
  </w:style>
  <w:style w:type="character" w:customStyle="1" w:styleId="Heading6Char">
    <w:name w:val="Heading 6 Char"/>
    <w:basedOn w:val="DefaultParagraphFont"/>
    <w:link w:val="Heading6"/>
    <w:uiPriority w:val="9"/>
    <w:rsid w:val="005648A1"/>
    <w:rPr>
      <w:caps/>
      <w:color w:val="2F5496" w:themeColor="accent1" w:themeShade="BF"/>
      <w:spacing w:val="10"/>
    </w:rPr>
  </w:style>
  <w:style w:type="character" w:customStyle="1" w:styleId="Heading7Char">
    <w:name w:val="Heading 7 Char"/>
    <w:basedOn w:val="DefaultParagraphFont"/>
    <w:link w:val="Heading7"/>
    <w:uiPriority w:val="9"/>
    <w:semiHidden/>
    <w:rsid w:val="005648A1"/>
    <w:rPr>
      <w:caps/>
      <w:color w:val="2F5496" w:themeColor="accent1" w:themeShade="BF"/>
      <w:spacing w:val="10"/>
    </w:rPr>
  </w:style>
  <w:style w:type="character" w:customStyle="1" w:styleId="Heading8Char">
    <w:name w:val="Heading 8 Char"/>
    <w:basedOn w:val="DefaultParagraphFont"/>
    <w:link w:val="Heading8"/>
    <w:uiPriority w:val="9"/>
    <w:semiHidden/>
    <w:rsid w:val="005648A1"/>
    <w:rPr>
      <w:caps/>
      <w:spacing w:val="10"/>
      <w:sz w:val="18"/>
      <w:szCs w:val="18"/>
    </w:rPr>
  </w:style>
  <w:style w:type="character" w:customStyle="1" w:styleId="Heading9Char">
    <w:name w:val="Heading 9 Char"/>
    <w:basedOn w:val="DefaultParagraphFont"/>
    <w:link w:val="Heading9"/>
    <w:uiPriority w:val="9"/>
    <w:semiHidden/>
    <w:rsid w:val="005648A1"/>
    <w:rPr>
      <w:i/>
      <w:iCs/>
      <w:caps/>
      <w:spacing w:val="10"/>
      <w:sz w:val="18"/>
      <w:szCs w:val="18"/>
    </w:rPr>
  </w:style>
  <w:style w:type="paragraph" w:styleId="Caption">
    <w:name w:val="caption"/>
    <w:basedOn w:val="Normal"/>
    <w:next w:val="Normal"/>
    <w:uiPriority w:val="35"/>
    <w:semiHidden/>
    <w:unhideWhenUsed/>
    <w:qFormat/>
    <w:rsid w:val="005648A1"/>
    <w:rPr>
      <w:b/>
      <w:bCs/>
      <w:color w:val="2F5496" w:themeColor="accent1" w:themeShade="BF"/>
      <w:sz w:val="16"/>
      <w:szCs w:val="16"/>
    </w:rPr>
  </w:style>
  <w:style w:type="paragraph" w:styleId="Title">
    <w:name w:val="Title"/>
    <w:basedOn w:val="Normal"/>
    <w:next w:val="Normal"/>
    <w:link w:val="TitleChar"/>
    <w:uiPriority w:val="10"/>
    <w:qFormat/>
    <w:rsid w:val="005648A1"/>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648A1"/>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648A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648A1"/>
    <w:rPr>
      <w:caps/>
      <w:color w:val="595959" w:themeColor="text1" w:themeTint="A6"/>
      <w:spacing w:val="10"/>
      <w:sz w:val="21"/>
      <w:szCs w:val="21"/>
    </w:rPr>
  </w:style>
  <w:style w:type="character" w:styleId="Emphasis">
    <w:name w:val="Emphasis"/>
    <w:uiPriority w:val="20"/>
    <w:qFormat/>
    <w:rsid w:val="005648A1"/>
    <w:rPr>
      <w:caps/>
      <w:color w:val="1F3763" w:themeColor="accent1" w:themeShade="7F"/>
      <w:spacing w:val="5"/>
    </w:rPr>
  </w:style>
  <w:style w:type="paragraph" w:styleId="NoSpacing">
    <w:name w:val="No Spacing"/>
    <w:uiPriority w:val="1"/>
    <w:qFormat/>
    <w:rsid w:val="005648A1"/>
    <w:pPr>
      <w:spacing w:after="0" w:line="240" w:lineRule="auto"/>
    </w:pPr>
  </w:style>
  <w:style w:type="paragraph" w:styleId="Quote">
    <w:name w:val="Quote"/>
    <w:basedOn w:val="Normal"/>
    <w:next w:val="Normal"/>
    <w:link w:val="QuoteChar"/>
    <w:uiPriority w:val="29"/>
    <w:qFormat/>
    <w:rsid w:val="005648A1"/>
    <w:rPr>
      <w:i/>
      <w:iCs/>
      <w:sz w:val="24"/>
      <w:szCs w:val="24"/>
    </w:rPr>
  </w:style>
  <w:style w:type="character" w:customStyle="1" w:styleId="QuoteChar">
    <w:name w:val="Quote Char"/>
    <w:basedOn w:val="DefaultParagraphFont"/>
    <w:link w:val="Quote"/>
    <w:uiPriority w:val="29"/>
    <w:rsid w:val="005648A1"/>
    <w:rPr>
      <w:i/>
      <w:iCs/>
      <w:sz w:val="24"/>
      <w:szCs w:val="24"/>
    </w:rPr>
  </w:style>
  <w:style w:type="paragraph" w:styleId="IntenseQuote">
    <w:name w:val="Intense Quote"/>
    <w:basedOn w:val="Normal"/>
    <w:next w:val="Normal"/>
    <w:link w:val="IntenseQuoteChar"/>
    <w:uiPriority w:val="30"/>
    <w:qFormat/>
    <w:rsid w:val="005648A1"/>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648A1"/>
    <w:rPr>
      <w:color w:val="4472C4" w:themeColor="accent1"/>
      <w:sz w:val="24"/>
      <w:szCs w:val="24"/>
    </w:rPr>
  </w:style>
  <w:style w:type="character" w:styleId="SubtleEmphasis">
    <w:name w:val="Subtle Emphasis"/>
    <w:uiPriority w:val="19"/>
    <w:qFormat/>
    <w:rsid w:val="005648A1"/>
    <w:rPr>
      <w:i/>
      <w:iCs/>
      <w:color w:val="1F3763" w:themeColor="accent1" w:themeShade="7F"/>
    </w:rPr>
  </w:style>
  <w:style w:type="character" w:styleId="IntenseEmphasis">
    <w:name w:val="Intense Emphasis"/>
    <w:uiPriority w:val="21"/>
    <w:qFormat/>
    <w:rsid w:val="005648A1"/>
    <w:rPr>
      <w:b/>
      <w:bCs/>
      <w:caps/>
      <w:color w:val="1F3763" w:themeColor="accent1" w:themeShade="7F"/>
      <w:spacing w:val="10"/>
    </w:rPr>
  </w:style>
  <w:style w:type="character" w:styleId="SubtleReference">
    <w:name w:val="Subtle Reference"/>
    <w:uiPriority w:val="31"/>
    <w:qFormat/>
    <w:rsid w:val="005648A1"/>
    <w:rPr>
      <w:b/>
      <w:bCs/>
      <w:color w:val="4472C4" w:themeColor="accent1"/>
    </w:rPr>
  </w:style>
  <w:style w:type="character" w:styleId="IntenseReference">
    <w:name w:val="Intense Reference"/>
    <w:uiPriority w:val="32"/>
    <w:qFormat/>
    <w:rsid w:val="005648A1"/>
    <w:rPr>
      <w:b/>
      <w:bCs/>
      <w:i/>
      <w:iCs/>
      <w:caps/>
      <w:color w:val="4472C4" w:themeColor="accent1"/>
    </w:rPr>
  </w:style>
  <w:style w:type="character" w:styleId="BookTitle">
    <w:name w:val="Book Title"/>
    <w:uiPriority w:val="33"/>
    <w:qFormat/>
    <w:rsid w:val="005648A1"/>
    <w:rPr>
      <w:b/>
      <w:bCs/>
      <w:i/>
      <w:iCs/>
      <w:spacing w:val="0"/>
    </w:rPr>
  </w:style>
  <w:style w:type="table" w:customStyle="1" w:styleId="ListTable2Accent1">
    <w:name w:val="List Table 2 Accent 1"/>
    <w:basedOn w:val="TableNormal"/>
    <w:uiPriority w:val="47"/>
    <w:rsid w:val="00245A3F"/>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Light">
    <w:name w:val="Grid Table Light"/>
    <w:basedOn w:val="TableNormal"/>
    <w:uiPriority w:val="40"/>
    <w:rsid w:val="00245A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5">
    <w:name w:val="Grid Table 4 Accent 5"/>
    <w:basedOn w:val="TableNormal"/>
    <w:uiPriority w:val="49"/>
    <w:rsid w:val="00245A3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2">
    <w:name w:val="Grid Table 4 Accent 2"/>
    <w:basedOn w:val="TableNormal"/>
    <w:uiPriority w:val="49"/>
    <w:rsid w:val="00245A3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2">
    <w:name w:val="List Table 6 Colorful Accent 2"/>
    <w:basedOn w:val="TableNormal"/>
    <w:uiPriority w:val="51"/>
    <w:rsid w:val="00245A3F"/>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275FE9"/>
    <w:rPr>
      <w:sz w:val="16"/>
      <w:szCs w:val="16"/>
    </w:rPr>
  </w:style>
  <w:style w:type="paragraph" w:styleId="CommentText">
    <w:name w:val="annotation text"/>
    <w:basedOn w:val="Normal"/>
    <w:link w:val="CommentTextChar"/>
    <w:uiPriority w:val="99"/>
    <w:semiHidden/>
    <w:unhideWhenUsed/>
    <w:rsid w:val="00275FE9"/>
    <w:pPr>
      <w:spacing w:before="0" w:after="160" w:line="240" w:lineRule="auto"/>
    </w:pPr>
    <w:rPr>
      <w:rFonts w:eastAsia="Calibri"/>
      <w:kern w:val="2"/>
      <w14:ligatures w14:val="standardContextual"/>
    </w:rPr>
  </w:style>
  <w:style w:type="character" w:customStyle="1" w:styleId="CommentTextChar">
    <w:name w:val="Comment Text Char"/>
    <w:basedOn w:val="DefaultParagraphFont"/>
    <w:link w:val="CommentText"/>
    <w:uiPriority w:val="99"/>
    <w:semiHidden/>
    <w:rsid w:val="00275FE9"/>
    <w:rPr>
      <w:rFonts w:eastAsia="Calibri"/>
      <w:kern w:val="2"/>
      <w14:ligatures w14:val="standardContextual"/>
    </w:rPr>
  </w:style>
  <w:style w:type="table" w:customStyle="1" w:styleId="TableGrid1">
    <w:name w:val="Table Grid1"/>
    <w:basedOn w:val="TableNormal"/>
    <w:next w:val="TableGrid"/>
    <w:uiPriority w:val="59"/>
    <w:rsid w:val="00D51AD0"/>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560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560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A560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B26F0"/>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26F0"/>
    <w:pPr>
      <w:ind w:left="720"/>
      <w:contextualSpacing/>
    </w:pPr>
  </w:style>
  <w:style w:type="paragraph" w:styleId="ListBullet">
    <w:name w:val="List Bullet"/>
    <w:basedOn w:val="Normal"/>
    <w:uiPriority w:val="99"/>
    <w:unhideWhenUsed/>
    <w:rsid w:val="00303EDF"/>
    <w:pPr>
      <w:numPr>
        <w:numId w:val="15"/>
      </w:numPr>
      <w:tabs>
        <w:tab w:val="clear" w:pos="360"/>
      </w:tabs>
      <w:spacing w:before="0"/>
      <w:ind w:left="0" w:firstLine="0"/>
      <w:contextualSpacing/>
    </w:pPr>
    <w:rPr>
      <w:sz w:val="22"/>
      <w:szCs w:val="22"/>
    </w:rPr>
  </w:style>
  <w:style w:type="table" w:customStyle="1" w:styleId="TableGrid6">
    <w:name w:val="Table Grid6"/>
    <w:basedOn w:val="TableNormal"/>
    <w:next w:val="TableGrid"/>
    <w:uiPriority w:val="39"/>
    <w:rsid w:val="00D50E99"/>
    <w:pPr>
      <w:spacing w:before="0" w:after="0" w:line="240" w:lineRule="auto"/>
    </w:pPr>
    <w:rPr>
      <w:rFonts w:eastAsia="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0AEF"/>
    <w:pPr>
      <w:spacing w:before="0" w:after="0" w:line="240" w:lineRule="auto"/>
    </w:pPr>
    <w:rPr>
      <w:rFonts w:eastAsia="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E7330"/>
    <w:pPr>
      <w:spacing w:before="100" w:after="200"/>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9E7330"/>
    <w:rPr>
      <w:rFonts w:eastAsia="Calibri"/>
      <w:b/>
      <w:bCs/>
      <w:kern w:val="2"/>
      <w14:ligatures w14:val="standardContextual"/>
    </w:rPr>
  </w:style>
  <w:style w:type="table" w:customStyle="1" w:styleId="ListTable5DarkAccent3">
    <w:name w:val="List Table 5 Dark Accent 3"/>
    <w:basedOn w:val="TableNormal"/>
    <w:uiPriority w:val="50"/>
    <w:rsid w:val="008B405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alloonText">
    <w:name w:val="Balloon Text"/>
    <w:basedOn w:val="Normal"/>
    <w:link w:val="BalloonTextChar"/>
    <w:uiPriority w:val="99"/>
    <w:semiHidden/>
    <w:unhideWhenUsed/>
    <w:rsid w:val="004915A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5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4867">
      <w:bodyDiv w:val="1"/>
      <w:marLeft w:val="0"/>
      <w:marRight w:val="0"/>
      <w:marTop w:val="0"/>
      <w:marBottom w:val="0"/>
      <w:divBdr>
        <w:top w:val="none" w:sz="0" w:space="0" w:color="auto"/>
        <w:left w:val="none" w:sz="0" w:space="0" w:color="auto"/>
        <w:bottom w:val="none" w:sz="0" w:space="0" w:color="auto"/>
        <w:right w:val="none" w:sz="0" w:space="0" w:color="auto"/>
      </w:divBdr>
    </w:div>
    <w:div w:id="50344832">
      <w:bodyDiv w:val="1"/>
      <w:marLeft w:val="0"/>
      <w:marRight w:val="0"/>
      <w:marTop w:val="0"/>
      <w:marBottom w:val="0"/>
      <w:divBdr>
        <w:top w:val="none" w:sz="0" w:space="0" w:color="auto"/>
        <w:left w:val="none" w:sz="0" w:space="0" w:color="auto"/>
        <w:bottom w:val="none" w:sz="0" w:space="0" w:color="auto"/>
        <w:right w:val="none" w:sz="0" w:space="0" w:color="auto"/>
      </w:divBdr>
    </w:div>
    <w:div w:id="65154767">
      <w:bodyDiv w:val="1"/>
      <w:marLeft w:val="0"/>
      <w:marRight w:val="0"/>
      <w:marTop w:val="0"/>
      <w:marBottom w:val="0"/>
      <w:divBdr>
        <w:top w:val="none" w:sz="0" w:space="0" w:color="auto"/>
        <w:left w:val="none" w:sz="0" w:space="0" w:color="auto"/>
        <w:bottom w:val="none" w:sz="0" w:space="0" w:color="auto"/>
        <w:right w:val="none" w:sz="0" w:space="0" w:color="auto"/>
      </w:divBdr>
    </w:div>
    <w:div w:id="157354038">
      <w:bodyDiv w:val="1"/>
      <w:marLeft w:val="0"/>
      <w:marRight w:val="0"/>
      <w:marTop w:val="0"/>
      <w:marBottom w:val="0"/>
      <w:divBdr>
        <w:top w:val="none" w:sz="0" w:space="0" w:color="auto"/>
        <w:left w:val="none" w:sz="0" w:space="0" w:color="auto"/>
        <w:bottom w:val="none" w:sz="0" w:space="0" w:color="auto"/>
        <w:right w:val="none" w:sz="0" w:space="0" w:color="auto"/>
      </w:divBdr>
    </w:div>
    <w:div w:id="171067420">
      <w:bodyDiv w:val="1"/>
      <w:marLeft w:val="0"/>
      <w:marRight w:val="0"/>
      <w:marTop w:val="0"/>
      <w:marBottom w:val="0"/>
      <w:divBdr>
        <w:top w:val="none" w:sz="0" w:space="0" w:color="auto"/>
        <w:left w:val="none" w:sz="0" w:space="0" w:color="auto"/>
        <w:bottom w:val="none" w:sz="0" w:space="0" w:color="auto"/>
        <w:right w:val="none" w:sz="0" w:space="0" w:color="auto"/>
      </w:divBdr>
    </w:div>
    <w:div w:id="211503895">
      <w:bodyDiv w:val="1"/>
      <w:marLeft w:val="0"/>
      <w:marRight w:val="0"/>
      <w:marTop w:val="0"/>
      <w:marBottom w:val="0"/>
      <w:divBdr>
        <w:top w:val="none" w:sz="0" w:space="0" w:color="auto"/>
        <w:left w:val="none" w:sz="0" w:space="0" w:color="auto"/>
        <w:bottom w:val="none" w:sz="0" w:space="0" w:color="auto"/>
        <w:right w:val="none" w:sz="0" w:space="0" w:color="auto"/>
      </w:divBdr>
    </w:div>
    <w:div w:id="227418588">
      <w:bodyDiv w:val="1"/>
      <w:marLeft w:val="0"/>
      <w:marRight w:val="0"/>
      <w:marTop w:val="0"/>
      <w:marBottom w:val="0"/>
      <w:divBdr>
        <w:top w:val="none" w:sz="0" w:space="0" w:color="auto"/>
        <w:left w:val="none" w:sz="0" w:space="0" w:color="auto"/>
        <w:bottom w:val="none" w:sz="0" w:space="0" w:color="auto"/>
        <w:right w:val="none" w:sz="0" w:space="0" w:color="auto"/>
      </w:divBdr>
    </w:div>
    <w:div w:id="305470740">
      <w:bodyDiv w:val="1"/>
      <w:marLeft w:val="0"/>
      <w:marRight w:val="0"/>
      <w:marTop w:val="0"/>
      <w:marBottom w:val="0"/>
      <w:divBdr>
        <w:top w:val="none" w:sz="0" w:space="0" w:color="auto"/>
        <w:left w:val="none" w:sz="0" w:space="0" w:color="auto"/>
        <w:bottom w:val="none" w:sz="0" w:space="0" w:color="auto"/>
        <w:right w:val="none" w:sz="0" w:space="0" w:color="auto"/>
      </w:divBdr>
    </w:div>
    <w:div w:id="316348197">
      <w:marLeft w:val="0"/>
      <w:marRight w:val="0"/>
      <w:marTop w:val="0"/>
      <w:marBottom w:val="0"/>
      <w:divBdr>
        <w:top w:val="none" w:sz="0" w:space="0" w:color="auto"/>
        <w:left w:val="none" w:sz="0" w:space="0" w:color="auto"/>
        <w:bottom w:val="none" w:sz="0" w:space="0" w:color="auto"/>
        <w:right w:val="none" w:sz="0" w:space="0" w:color="auto"/>
      </w:divBdr>
      <w:divsChild>
        <w:div w:id="1748335845">
          <w:marLeft w:val="0"/>
          <w:marRight w:val="0"/>
          <w:marTop w:val="0"/>
          <w:marBottom w:val="0"/>
          <w:divBdr>
            <w:top w:val="none" w:sz="0" w:space="0" w:color="auto"/>
            <w:left w:val="none" w:sz="0" w:space="0" w:color="auto"/>
            <w:bottom w:val="none" w:sz="0" w:space="0" w:color="auto"/>
            <w:right w:val="none" w:sz="0" w:space="0" w:color="auto"/>
          </w:divBdr>
          <w:divsChild>
            <w:div w:id="392898515">
              <w:marLeft w:val="0"/>
              <w:marRight w:val="0"/>
              <w:marTop w:val="0"/>
              <w:marBottom w:val="0"/>
              <w:divBdr>
                <w:top w:val="none" w:sz="0" w:space="0" w:color="auto"/>
                <w:left w:val="none" w:sz="0" w:space="0" w:color="auto"/>
                <w:bottom w:val="none" w:sz="0" w:space="0" w:color="auto"/>
                <w:right w:val="none" w:sz="0" w:space="0" w:color="auto"/>
              </w:divBdr>
              <w:divsChild>
                <w:div w:id="1387217248">
                  <w:marLeft w:val="0"/>
                  <w:marRight w:val="0"/>
                  <w:marTop w:val="0"/>
                  <w:marBottom w:val="0"/>
                  <w:divBdr>
                    <w:top w:val="none" w:sz="0" w:space="0" w:color="auto"/>
                    <w:left w:val="none" w:sz="0" w:space="0" w:color="auto"/>
                    <w:bottom w:val="none" w:sz="0" w:space="0" w:color="auto"/>
                    <w:right w:val="none" w:sz="0" w:space="0" w:color="auto"/>
                  </w:divBdr>
                  <w:divsChild>
                    <w:div w:id="1297252069">
                      <w:marLeft w:val="0"/>
                      <w:marRight w:val="0"/>
                      <w:marTop w:val="0"/>
                      <w:marBottom w:val="0"/>
                      <w:divBdr>
                        <w:top w:val="none" w:sz="0" w:space="0" w:color="auto"/>
                        <w:left w:val="none" w:sz="0" w:space="0" w:color="auto"/>
                        <w:bottom w:val="none" w:sz="0" w:space="0" w:color="auto"/>
                        <w:right w:val="none" w:sz="0" w:space="0" w:color="auto"/>
                      </w:divBdr>
                      <w:divsChild>
                        <w:div w:id="2053920472">
                          <w:marLeft w:val="0"/>
                          <w:marRight w:val="0"/>
                          <w:marTop w:val="0"/>
                          <w:marBottom w:val="0"/>
                          <w:divBdr>
                            <w:top w:val="none" w:sz="0" w:space="0" w:color="auto"/>
                            <w:left w:val="none" w:sz="0" w:space="0" w:color="auto"/>
                            <w:bottom w:val="none" w:sz="0" w:space="0" w:color="auto"/>
                            <w:right w:val="none" w:sz="0" w:space="0" w:color="auto"/>
                          </w:divBdr>
                          <w:divsChild>
                            <w:div w:id="18924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75986">
      <w:bodyDiv w:val="1"/>
      <w:marLeft w:val="0"/>
      <w:marRight w:val="0"/>
      <w:marTop w:val="0"/>
      <w:marBottom w:val="0"/>
      <w:divBdr>
        <w:top w:val="none" w:sz="0" w:space="0" w:color="auto"/>
        <w:left w:val="none" w:sz="0" w:space="0" w:color="auto"/>
        <w:bottom w:val="none" w:sz="0" w:space="0" w:color="auto"/>
        <w:right w:val="none" w:sz="0" w:space="0" w:color="auto"/>
      </w:divBdr>
    </w:div>
    <w:div w:id="337848698">
      <w:marLeft w:val="0"/>
      <w:marRight w:val="0"/>
      <w:marTop w:val="0"/>
      <w:marBottom w:val="0"/>
      <w:divBdr>
        <w:top w:val="none" w:sz="0" w:space="0" w:color="auto"/>
        <w:left w:val="none" w:sz="0" w:space="0" w:color="auto"/>
        <w:bottom w:val="none" w:sz="0" w:space="0" w:color="auto"/>
        <w:right w:val="none" w:sz="0" w:space="0" w:color="auto"/>
      </w:divBdr>
    </w:div>
    <w:div w:id="345403604">
      <w:bodyDiv w:val="1"/>
      <w:marLeft w:val="0"/>
      <w:marRight w:val="0"/>
      <w:marTop w:val="0"/>
      <w:marBottom w:val="0"/>
      <w:divBdr>
        <w:top w:val="none" w:sz="0" w:space="0" w:color="auto"/>
        <w:left w:val="none" w:sz="0" w:space="0" w:color="auto"/>
        <w:bottom w:val="none" w:sz="0" w:space="0" w:color="auto"/>
        <w:right w:val="none" w:sz="0" w:space="0" w:color="auto"/>
      </w:divBdr>
    </w:div>
    <w:div w:id="461389390">
      <w:marLeft w:val="0"/>
      <w:marRight w:val="0"/>
      <w:marTop w:val="0"/>
      <w:marBottom w:val="0"/>
      <w:divBdr>
        <w:top w:val="none" w:sz="0" w:space="0" w:color="auto"/>
        <w:left w:val="none" w:sz="0" w:space="0" w:color="auto"/>
        <w:bottom w:val="none" w:sz="0" w:space="0" w:color="auto"/>
        <w:right w:val="none" w:sz="0" w:space="0" w:color="auto"/>
      </w:divBdr>
    </w:div>
    <w:div w:id="498347303">
      <w:bodyDiv w:val="1"/>
      <w:marLeft w:val="0"/>
      <w:marRight w:val="0"/>
      <w:marTop w:val="0"/>
      <w:marBottom w:val="0"/>
      <w:divBdr>
        <w:top w:val="none" w:sz="0" w:space="0" w:color="auto"/>
        <w:left w:val="none" w:sz="0" w:space="0" w:color="auto"/>
        <w:bottom w:val="none" w:sz="0" w:space="0" w:color="auto"/>
        <w:right w:val="none" w:sz="0" w:space="0" w:color="auto"/>
      </w:divBdr>
    </w:div>
    <w:div w:id="499470748">
      <w:bodyDiv w:val="1"/>
      <w:marLeft w:val="0"/>
      <w:marRight w:val="0"/>
      <w:marTop w:val="0"/>
      <w:marBottom w:val="0"/>
      <w:divBdr>
        <w:top w:val="none" w:sz="0" w:space="0" w:color="auto"/>
        <w:left w:val="none" w:sz="0" w:space="0" w:color="auto"/>
        <w:bottom w:val="none" w:sz="0" w:space="0" w:color="auto"/>
        <w:right w:val="none" w:sz="0" w:space="0" w:color="auto"/>
      </w:divBdr>
    </w:div>
    <w:div w:id="518006498">
      <w:bodyDiv w:val="1"/>
      <w:marLeft w:val="0"/>
      <w:marRight w:val="0"/>
      <w:marTop w:val="0"/>
      <w:marBottom w:val="0"/>
      <w:divBdr>
        <w:top w:val="none" w:sz="0" w:space="0" w:color="auto"/>
        <w:left w:val="none" w:sz="0" w:space="0" w:color="auto"/>
        <w:bottom w:val="none" w:sz="0" w:space="0" w:color="auto"/>
        <w:right w:val="none" w:sz="0" w:space="0" w:color="auto"/>
      </w:divBdr>
    </w:div>
    <w:div w:id="551115390">
      <w:bodyDiv w:val="1"/>
      <w:marLeft w:val="0"/>
      <w:marRight w:val="0"/>
      <w:marTop w:val="0"/>
      <w:marBottom w:val="0"/>
      <w:divBdr>
        <w:top w:val="none" w:sz="0" w:space="0" w:color="auto"/>
        <w:left w:val="none" w:sz="0" w:space="0" w:color="auto"/>
        <w:bottom w:val="none" w:sz="0" w:space="0" w:color="auto"/>
        <w:right w:val="none" w:sz="0" w:space="0" w:color="auto"/>
      </w:divBdr>
    </w:div>
    <w:div w:id="595141622">
      <w:bodyDiv w:val="1"/>
      <w:marLeft w:val="0"/>
      <w:marRight w:val="0"/>
      <w:marTop w:val="0"/>
      <w:marBottom w:val="0"/>
      <w:divBdr>
        <w:top w:val="none" w:sz="0" w:space="0" w:color="auto"/>
        <w:left w:val="none" w:sz="0" w:space="0" w:color="auto"/>
        <w:bottom w:val="none" w:sz="0" w:space="0" w:color="auto"/>
        <w:right w:val="none" w:sz="0" w:space="0" w:color="auto"/>
      </w:divBdr>
    </w:div>
    <w:div w:id="632635890">
      <w:bodyDiv w:val="1"/>
      <w:marLeft w:val="0"/>
      <w:marRight w:val="0"/>
      <w:marTop w:val="0"/>
      <w:marBottom w:val="0"/>
      <w:divBdr>
        <w:top w:val="none" w:sz="0" w:space="0" w:color="auto"/>
        <w:left w:val="none" w:sz="0" w:space="0" w:color="auto"/>
        <w:bottom w:val="none" w:sz="0" w:space="0" w:color="auto"/>
        <w:right w:val="none" w:sz="0" w:space="0" w:color="auto"/>
      </w:divBdr>
    </w:div>
    <w:div w:id="633995921">
      <w:bodyDiv w:val="1"/>
      <w:marLeft w:val="0"/>
      <w:marRight w:val="0"/>
      <w:marTop w:val="0"/>
      <w:marBottom w:val="0"/>
      <w:divBdr>
        <w:top w:val="none" w:sz="0" w:space="0" w:color="auto"/>
        <w:left w:val="none" w:sz="0" w:space="0" w:color="auto"/>
        <w:bottom w:val="none" w:sz="0" w:space="0" w:color="auto"/>
        <w:right w:val="none" w:sz="0" w:space="0" w:color="auto"/>
      </w:divBdr>
    </w:div>
    <w:div w:id="656419206">
      <w:bodyDiv w:val="1"/>
      <w:marLeft w:val="0"/>
      <w:marRight w:val="0"/>
      <w:marTop w:val="0"/>
      <w:marBottom w:val="0"/>
      <w:divBdr>
        <w:top w:val="none" w:sz="0" w:space="0" w:color="auto"/>
        <w:left w:val="none" w:sz="0" w:space="0" w:color="auto"/>
        <w:bottom w:val="none" w:sz="0" w:space="0" w:color="auto"/>
        <w:right w:val="none" w:sz="0" w:space="0" w:color="auto"/>
      </w:divBdr>
    </w:div>
    <w:div w:id="659895095">
      <w:marLeft w:val="0"/>
      <w:marRight w:val="0"/>
      <w:marTop w:val="0"/>
      <w:marBottom w:val="0"/>
      <w:divBdr>
        <w:top w:val="none" w:sz="0" w:space="0" w:color="auto"/>
        <w:left w:val="none" w:sz="0" w:space="0" w:color="auto"/>
        <w:bottom w:val="none" w:sz="0" w:space="0" w:color="auto"/>
        <w:right w:val="none" w:sz="0" w:space="0" w:color="auto"/>
      </w:divBdr>
      <w:divsChild>
        <w:div w:id="760029527">
          <w:marLeft w:val="0"/>
          <w:marRight w:val="0"/>
          <w:marTop w:val="0"/>
          <w:marBottom w:val="0"/>
          <w:divBdr>
            <w:top w:val="none" w:sz="0" w:space="0" w:color="auto"/>
            <w:left w:val="none" w:sz="0" w:space="0" w:color="auto"/>
            <w:bottom w:val="none" w:sz="0" w:space="0" w:color="auto"/>
            <w:right w:val="none" w:sz="0" w:space="0" w:color="auto"/>
          </w:divBdr>
        </w:div>
      </w:divsChild>
    </w:div>
    <w:div w:id="700713132">
      <w:marLeft w:val="0"/>
      <w:marRight w:val="0"/>
      <w:marTop w:val="0"/>
      <w:marBottom w:val="0"/>
      <w:divBdr>
        <w:top w:val="none" w:sz="0" w:space="0" w:color="auto"/>
        <w:left w:val="none" w:sz="0" w:space="0" w:color="auto"/>
        <w:bottom w:val="none" w:sz="0" w:space="0" w:color="auto"/>
        <w:right w:val="none" w:sz="0" w:space="0" w:color="auto"/>
      </w:divBdr>
      <w:divsChild>
        <w:div w:id="428431270">
          <w:marLeft w:val="0"/>
          <w:marRight w:val="0"/>
          <w:marTop w:val="0"/>
          <w:marBottom w:val="0"/>
          <w:divBdr>
            <w:top w:val="none" w:sz="0" w:space="0" w:color="auto"/>
            <w:left w:val="none" w:sz="0" w:space="0" w:color="auto"/>
            <w:bottom w:val="none" w:sz="0" w:space="0" w:color="auto"/>
            <w:right w:val="none" w:sz="0" w:space="0" w:color="auto"/>
          </w:divBdr>
          <w:divsChild>
            <w:div w:id="440953574">
              <w:marLeft w:val="0"/>
              <w:marRight w:val="0"/>
              <w:marTop w:val="0"/>
              <w:marBottom w:val="0"/>
              <w:divBdr>
                <w:top w:val="none" w:sz="0" w:space="0" w:color="auto"/>
                <w:left w:val="none" w:sz="0" w:space="0" w:color="auto"/>
                <w:bottom w:val="none" w:sz="0" w:space="0" w:color="auto"/>
                <w:right w:val="none" w:sz="0" w:space="0" w:color="auto"/>
              </w:divBdr>
              <w:divsChild>
                <w:div w:id="19181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81508">
      <w:bodyDiv w:val="1"/>
      <w:marLeft w:val="0"/>
      <w:marRight w:val="0"/>
      <w:marTop w:val="0"/>
      <w:marBottom w:val="0"/>
      <w:divBdr>
        <w:top w:val="none" w:sz="0" w:space="0" w:color="auto"/>
        <w:left w:val="none" w:sz="0" w:space="0" w:color="auto"/>
        <w:bottom w:val="none" w:sz="0" w:space="0" w:color="auto"/>
        <w:right w:val="none" w:sz="0" w:space="0" w:color="auto"/>
      </w:divBdr>
    </w:div>
    <w:div w:id="746265882">
      <w:marLeft w:val="0"/>
      <w:marRight w:val="0"/>
      <w:marTop w:val="0"/>
      <w:marBottom w:val="0"/>
      <w:divBdr>
        <w:top w:val="none" w:sz="0" w:space="0" w:color="auto"/>
        <w:left w:val="none" w:sz="0" w:space="0" w:color="auto"/>
        <w:bottom w:val="none" w:sz="0" w:space="0" w:color="auto"/>
        <w:right w:val="none" w:sz="0" w:space="0" w:color="auto"/>
      </w:divBdr>
      <w:divsChild>
        <w:div w:id="338893550">
          <w:marLeft w:val="0"/>
          <w:marRight w:val="0"/>
          <w:marTop w:val="0"/>
          <w:marBottom w:val="0"/>
          <w:divBdr>
            <w:top w:val="none" w:sz="0" w:space="0" w:color="auto"/>
            <w:left w:val="none" w:sz="0" w:space="0" w:color="auto"/>
            <w:bottom w:val="none" w:sz="0" w:space="0" w:color="auto"/>
            <w:right w:val="none" w:sz="0" w:space="0" w:color="auto"/>
          </w:divBdr>
        </w:div>
      </w:divsChild>
    </w:div>
    <w:div w:id="759716114">
      <w:marLeft w:val="0"/>
      <w:marRight w:val="0"/>
      <w:marTop w:val="0"/>
      <w:marBottom w:val="0"/>
      <w:divBdr>
        <w:top w:val="none" w:sz="0" w:space="0" w:color="auto"/>
        <w:left w:val="none" w:sz="0" w:space="0" w:color="auto"/>
        <w:bottom w:val="none" w:sz="0" w:space="0" w:color="auto"/>
        <w:right w:val="none" w:sz="0" w:space="0" w:color="auto"/>
      </w:divBdr>
    </w:div>
    <w:div w:id="764689376">
      <w:bodyDiv w:val="1"/>
      <w:marLeft w:val="0"/>
      <w:marRight w:val="0"/>
      <w:marTop w:val="0"/>
      <w:marBottom w:val="0"/>
      <w:divBdr>
        <w:top w:val="none" w:sz="0" w:space="0" w:color="auto"/>
        <w:left w:val="none" w:sz="0" w:space="0" w:color="auto"/>
        <w:bottom w:val="none" w:sz="0" w:space="0" w:color="auto"/>
        <w:right w:val="none" w:sz="0" w:space="0" w:color="auto"/>
      </w:divBdr>
    </w:div>
    <w:div w:id="776873225">
      <w:bodyDiv w:val="1"/>
      <w:marLeft w:val="0"/>
      <w:marRight w:val="0"/>
      <w:marTop w:val="0"/>
      <w:marBottom w:val="0"/>
      <w:divBdr>
        <w:top w:val="none" w:sz="0" w:space="0" w:color="auto"/>
        <w:left w:val="none" w:sz="0" w:space="0" w:color="auto"/>
        <w:bottom w:val="none" w:sz="0" w:space="0" w:color="auto"/>
        <w:right w:val="none" w:sz="0" w:space="0" w:color="auto"/>
      </w:divBdr>
    </w:div>
    <w:div w:id="784889804">
      <w:bodyDiv w:val="1"/>
      <w:marLeft w:val="0"/>
      <w:marRight w:val="0"/>
      <w:marTop w:val="0"/>
      <w:marBottom w:val="0"/>
      <w:divBdr>
        <w:top w:val="none" w:sz="0" w:space="0" w:color="auto"/>
        <w:left w:val="none" w:sz="0" w:space="0" w:color="auto"/>
        <w:bottom w:val="none" w:sz="0" w:space="0" w:color="auto"/>
        <w:right w:val="none" w:sz="0" w:space="0" w:color="auto"/>
      </w:divBdr>
    </w:div>
    <w:div w:id="836847832">
      <w:marLeft w:val="0"/>
      <w:marRight w:val="0"/>
      <w:marTop w:val="0"/>
      <w:marBottom w:val="0"/>
      <w:divBdr>
        <w:top w:val="none" w:sz="0" w:space="0" w:color="auto"/>
        <w:left w:val="none" w:sz="0" w:space="0" w:color="auto"/>
        <w:bottom w:val="none" w:sz="0" w:space="0" w:color="auto"/>
        <w:right w:val="none" w:sz="0" w:space="0" w:color="auto"/>
      </w:divBdr>
    </w:div>
    <w:div w:id="900293631">
      <w:bodyDiv w:val="1"/>
      <w:marLeft w:val="0"/>
      <w:marRight w:val="0"/>
      <w:marTop w:val="0"/>
      <w:marBottom w:val="0"/>
      <w:divBdr>
        <w:top w:val="none" w:sz="0" w:space="0" w:color="auto"/>
        <w:left w:val="none" w:sz="0" w:space="0" w:color="auto"/>
        <w:bottom w:val="none" w:sz="0" w:space="0" w:color="auto"/>
        <w:right w:val="none" w:sz="0" w:space="0" w:color="auto"/>
      </w:divBdr>
    </w:div>
    <w:div w:id="1010836474">
      <w:marLeft w:val="0"/>
      <w:marRight w:val="0"/>
      <w:marTop w:val="0"/>
      <w:marBottom w:val="0"/>
      <w:divBdr>
        <w:top w:val="none" w:sz="0" w:space="0" w:color="auto"/>
        <w:left w:val="none" w:sz="0" w:space="0" w:color="auto"/>
        <w:bottom w:val="none" w:sz="0" w:space="0" w:color="auto"/>
        <w:right w:val="none" w:sz="0" w:space="0" w:color="auto"/>
      </w:divBdr>
    </w:div>
    <w:div w:id="1013723804">
      <w:bodyDiv w:val="1"/>
      <w:marLeft w:val="0"/>
      <w:marRight w:val="0"/>
      <w:marTop w:val="0"/>
      <w:marBottom w:val="0"/>
      <w:divBdr>
        <w:top w:val="none" w:sz="0" w:space="0" w:color="auto"/>
        <w:left w:val="none" w:sz="0" w:space="0" w:color="auto"/>
        <w:bottom w:val="none" w:sz="0" w:space="0" w:color="auto"/>
        <w:right w:val="none" w:sz="0" w:space="0" w:color="auto"/>
      </w:divBdr>
    </w:div>
    <w:div w:id="1035540664">
      <w:marLeft w:val="0"/>
      <w:marRight w:val="0"/>
      <w:marTop w:val="0"/>
      <w:marBottom w:val="0"/>
      <w:divBdr>
        <w:top w:val="none" w:sz="0" w:space="0" w:color="auto"/>
        <w:left w:val="none" w:sz="0" w:space="0" w:color="auto"/>
        <w:bottom w:val="none" w:sz="0" w:space="0" w:color="auto"/>
        <w:right w:val="none" w:sz="0" w:space="0" w:color="auto"/>
      </w:divBdr>
      <w:divsChild>
        <w:div w:id="1751540694">
          <w:marLeft w:val="0"/>
          <w:marRight w:val="0"/>
          <w:marTop w:val="0"/>
          <w:marBottom w:val="0"/>
          <w:divBdr>
            <w:top w:val="none" w:sz="0" w:space="0" w:color="auto"/>
            <w:left w:val="none" w:sz="0" w:space="0" w:color="auto"/>
            <w:bottom w:val="none" w:sz="0" w:space="0" w:color="auto"/>
            <w:right w:val="none" w:sz="0" w:space="0" w:color="auto"/>
          </w:divBdr>
        </w:div>
      </w:divsChild>
    </w:div>
    <w:div w:id="1091321317">
      <w:bodyDiv w:val="1"/>
      <w:marLeft w:val="0"/>
      <w:marRight w:val="0"/>
      <w:marTop w:val="0"/>
      <w:marBottom w:val="0"/>
      <w:divBdr>
        <w:top w:val="none" w:sz="0" w:space="0" w:color="auto"/>
        <w:left w:val="none" w:sz="0" w:space="0" w:color="auto"/>
        <w:bottom w:val="none" w:sz="0" w:space="0" w:color="auto"/>
        <w:right w:val="none" w:sz="0" w:space="0" w:color="auto"/>
      </w:divBdr>
    </w:div>
    <w:div w:id="1112089278">
      <w:bodyDiv w:val="1"/>
      <w:marLeft w:val="0"/>
      <w:marRight w:val="0"/>
      <w:marTop w:val="0"/>
      <w:marBottom w:val="0"/>
      <w:divBdr>
        <w:top w:val="none" w:sz="0" w:space="0" w:color="auto"/>
        <w:left w:val="none" w:sz="0" w:space="0" w:color="auto"/>
        <w:bottom w:val="none" w:sz="0" w:space="0" w:color="auto"/>
        <w:right w:val="none" w:sz="0" w:space="0" w:color="auto"/>
      </w:divBdr>
    </w:div>
    <w:div w:id="1124428211">
      <w:bodyDiv w:val="1"/>
      <w:marLeft w:val="0"/>
      <w:marRight w:val="0"/>
      <w:marTop w:val="0"/>
      <w:marBottom w:val="0"/>
      <w:divBdr>
        <w:top w:val="none" w:sz="0" w:space="0" w:color="auto"/>
        <w:left w:val="none" w:sz="0" w:space="0" w:color="auto"/>
        <w:bottom w:val="none" w:sz="0" w:space="0" w:color="auto"/>
        <w:right w:val="none" w:sz="0" w:space="0" w:color="auto"/>
      </w:divBdr>
    </w:div>
    <w:div w:id="1187328675">
      <w:marLeft w:val="0"/>
      <w:marRight w:val="0"/>
      <w:marTop w:val="0"/>
      <w:marBottom w:val="0"/>
      <w:divBdr>
        <w:top w:val="none" w:sz="0" w:space="0" w:color="auto"/>
        <w:left w:val="none" w:sz="0" w:space="0" w:color="auto"/>
        <w:bottom w:val="none" w:sz="0" w:space="0" w:color="auto"/>
        <w:right w:val="none" w:sz="0" w:space="0" w:color="auto"/>
      </w:divBdr>
      <w:divsChild>
        <w:div w:id="1479570402">
          <w:marLeft w:val="0"/>
          <w:marRight w:val="0"/>
          <w:marTop w:val="0"/>
          <w:marBottom w:val="0"/>
          <w:divBdr>
            <w:top w:val="none" w:sz="0" w:space="0" w:color="auto"/>
            <w:left w:val="none" w:sz="0" w:space="0" w:color="auto"/>
            <w:bottom w:val="none" w:sz="0" w:space="0" w:color="auto"/>
            <w:right w:val="none" w:sz="0" w:space="0" w:color="auto"/>
          </w:divBdr>
        </w:div>
      </w:divsChild>
    </w:div>
    <w:div w:id="1202287659">
      <w:bodyDiv w:val="1"/>
      <w:marLeft w:val="0"/>
      <w:marRight w:val="0"/>
      <w:marTop w:val="0"/>
      <w:marBottom w:val="0"/>
      <w:divBdr>
        <w:top w:val="none" w:sz="0" w:space="0" w:color="auto"/>
        <w:left w:val="none" w:sz="0" w:space="0" w:color="auto"/>
        <w:bottom w:val="none" w:sz="0" w:space="0" w:color="auto"/>
        <w:right w:val="none" w:sz="0" w:space="0" w:color="auto"/>
      </w:divBdr>
    </w:div>
    <w:div w:id="1207714797">
      <w:bodyDiv w:val="1"/>
      <w:marLeft w:val="0"/>
      <w:marRight w:val="0"/>
      <w:marTop w:val="0"/>
      <w:marBottom w:val="0"/>
      <w:divBdr>
        <w:top w:val="none" w:sz="0" w:space="0" w:color="auto"/>
        <w:left w:val="none" w:sz="0" w:space="0" w:color="auto"/>
        <w:bottom w:val="none" w:sz="0" w:space="0" w:color="auto"/>
        <w:right w:val="none" w:sz="0" w:space="0" w:color="auto"/>
      </w:divBdr>
    </w:div>
    <w:div w:id="1300528890">
      <w:marLeft w:val="0"/>
      <w:marRight w:val="0"/>
      <w:marTop w:val="0"/>
      <w:marBottom w:val="0"/>
      <w:divBdr>
        <w:top w:val="none" w:sz="0" w:space="0" w:color="auto"/>
        <w:left w:val="none" w:sz="0" w:space="0" w:color="auto"/>
        <w:bottom w:val="none" w:sz="0" w:space="0" w:color="auto"/>
        <w:right w:val="none" w:sz="0" w:space="0" w:color="auto"/>
      </w:divBdr>
    </w:div>
    <w:div w:id="1320889268">
      <w:marLeft w:val="0"/>
      <w:marRight w:val="0"/>
      <w:marTop w:val="0"/>
      <w:marBottom w:val="0"/>
      <w:divBdr>
        <w:top w:val="none" w:sz="0" w:space="0" w:color="auto"/>
        <w:left w:val="none" w:sz="0" w:space="0" w:color="auto"/>
        <w:bottom w:val="none" w:sz="0" w:space="0" w:color="auto"/>
        <w:right w:val="none" w:sz="0" w:space="0" w:color="auto"/>
      </w:divBdr>
    </w:div>
    <w:div w:id="1330791440">
      <w:bodyDiv w:val="1"/>
      <w:marLeft w:val="0"/>
      <w:marRight w:val="0"/>
      <w:marTop w:val="0"/>
      <w:marBottom w:val="0"/>
      <w:divBdr>
        <w:top w:val="none" w:sz="0" w:space="0" w:color="auto"/>
        <w:left w:val="none" w:sz="0" w:space="0" w:color="auto"/>
        <w:bottom w:val="none" w:sz="0" w:space="0" w:color="auto"/>
        <w:right w:val="none" w:sz="0" w:space="0" w:color="auto"/>
      </w:divBdr>
    </w:div>
    <w:div w:id="1356614800">
      <w:bodyDiv w:val="1"/>
      <w:marLeft w:val="0"/>
      <w:marRight w:val="0"/>
      <w:marTop w:val="0"/>
      <w:marBottom w:val="0"/>
      <w:divBdr>
        <w:top w:val="none" w:sz="0" w:space="0" w:color="auto"/>
        <w:left w:val="none" w:sz="0" w:space="0" w:color="auto"/>
        <w:bottom w:val="none" w:sz="0" w:space="0" w:color="auto"/>
        <w:right w:val="none" w:sz="0" w:space="0" w:color="auto"/>
      </w:divBdr>
    </w:div>
    <w:div w:id="1431659276">
      <w:bodyDiv w:val="1"/>
      <w:marLeft w:val="0"/>
      <w:marRight w:val="0"/>
      <w:marTop w:val="0"/>
      <w:marBottom w:val="0"/>
      <w:divBdr>
        <w:top w:val="none" w:sz="0" w:space="0" w:color="auto"/>
        <w:left w:val="none" w:sz="0" w:space="0" w:color="auto"/>
        <w:bottom w:val="none" w:sz="0" w:space="0" w:color="auto"/>
        <w:right w:val="none" w:sz="0" w:space="0" w:color="auto"/>
      </w:divBdr>
    </w:div>
    <w:div w:id="1433237331">
      <w:marLeft w:val="0"/>
      <w:marRight w:val="0"/>
      <w:marTop w:val="0"/>
      <w:marBottom w:val="0"/>
      <w:divBdr>
        <w:top w:val="none" w:sz="0" w:space="0" w:color="auto"/>
        <w:left w:val="none" w:sz="0" w:space="0" w:color="auto"/>
        <w:bottom w:val="none" w:sz="0" w:space="0" w:color="auto"/>
        <w:right w:val="none" w:sz="0" w:space="0" w:color="auto"/>
      </w:divBdr>
    </w:div>
    <w:div w:id="1434470317">
      <w:bodyDiv w:val="1"/>
      <w:marLeft w:val="0"/>
      <w:marRight w:val="0"/>
      <w:marTop w:val="0"/>
      <w:marBottom w:val="0"/>
      <w:divBdr>
        <w:top w:val="none" w:sz="0" w:space="0" w:color="auto"/>
        <w:left w:val="none" w:sz="0" w:space="0" w:color="auto"/>
        <w:bottom w:val="none" w:sz="0" w:space="0" w:color="auto"/>
        <w:right w:val="none" w:sz="0" w:space="0" w:color="auto"/>
      </w:divBdr>
    </w:div>
    <w:div w:id="1482235668">
      <w:marLeft w:val="0"/>
      <w:marRight w:val="0"/>
      <w:marTop w:val="0"/>
      <w:marBottom w:val="0"/>
      <w:divBdr>
        <w:top w:val="none" w:sz="0" w:space="0" w:color="auto"/>
        <w:left w:val="none" w:sz="0" w:space="0" w:color="auto"/>
        <w:bottom w:val="none" w:sz="0" w:space="0" w:color="auto"/>
        <w:right w:val="none" w:sz="0" w:space="0" w:color="auto"/>
      </w:divBdr>
    </w:div>
    <w:div w:id="1534609023">
      <w:bodyDiv w:val="1"/>
      <w:marLeft w:val="0"/>
      <w:marRight w:val="0"/>
      <w:marTop w:val="0"/>
      <w:marBottom w:val="0"/>
      <w:divBdr>
        <w:top w:val="none" w:sz="0" w:space="0" w:color="auto"/>
        <w:left w:val="none" w:sz="0" w:space="0" w:color="auto"/>
        <w:bottom w:val="none" w:sz="0" w:space="0" w:color="auto"/>
        <w:right w:val="none" w:sz="0" w:space="0" w:color="auto"/>
      </w:divBdr>
    </w:div>
    <w:div w:id="1556046063">
      <w:bodyDiv w:val="1"/>
      <w:marLeft w:val="0"/>
      <w:marRight w:val="0"/>
      <w:marTop w:val="0"/>
      <w:marBottom w:val="0"/>
      <w:divBdr>
        <w:top w:val="none" w:sz="0" w:space="0" w:color="auto"/>
        <w:left w:val="none" w:sz="0" w:space="0" w:color="auto"/>
        <w:bottom w:val="none" w:sz="0" w:space="0" w:color="auto"/>
        <w:right w:val="none" w:sz="0" w:space="0" w:color="auto"/>
      </w:divBdr>
    </w:div>
    <w:div w:id="1578586156">
      <w:marLeft w:val="0"/>
      <w:marRight w:val="0"/>
      <w:marTop w:val="0"/>
      <w:marBottom w:val="0"/>
      <w:divBdr>
        <w:top w:val="none" w:sz="0" w:space="0" w:color="auto"/>
        <w:left w:val="none" w:sz="0" w:space="0" w:color="auto"/>
        <w:bottom w:val="none" w:sz="0" w:space="0" w:color="auto"/>
        <w:right w:val="none" w:sz="0" w:space="0" w:color="auto"/>
      </w:divBdr>
    </w:div>
    <w:div w:id="1579171744">
      <w:bodyDiv w:val="1"/>
      <w:marLeft w:val="0"/>
      <w:marRight w:val="0"/>
      <w:marTop w:val="0"/>
      <w:marBottom w:val="0"/>
      <w:divBdr>
        <w:top w:val="none" w:sz="0" w:space="0" w:color="auto"/>
        <w:left w:val="none" w:sz="0" w:space="0" w:color="auto"/>
        <w:bottom w:val="none" w:sz="0" w:space="0" w:color="auto"/>
        <w:right w:val="none" w:sz="0" w:space="0" w:color="auto"/>
      </w:divBdr>
    </w:div>
    <w:div w:id="1623264508">
      <w:bodyDiv w:val="1"/>
      <w:marLeft w:val="0"/>
      <w:marRight w:val="0"/>
      <w:marTop w:val="0"/>
      <w:marBottom w:val="0"/>
      <w:divBdr>
        <w:top w:val="none" w:sz="0" w:space="0" w:color="auto"/>
        <w:left w:val="none" w:sz="0" w:space="0" w:color="auto"/>
        <w:bottom w:val="none" w:sz="0" w:space="0" w:color="auto"/>
        <w:right w:val="none" w:sz="0" w:space="0" w:color="auto"/>
      </w:divBdr>
    </w:div>
    <w:div w:id="1677534137">
      <w:bodyDiv w:val="1"/>
      <w:marLeft w:val="0"/>
      <w:marRight w:val="0"/>
      <w:marTop w:val="0"/>
      <w:marBottom w:val="0"/>
      <w:divBdr>
        <w:top w:val="none" w:sz="0" w:space="0" w:color="auto"/>
        <w:left w:val="none" w:sz="0" w:space="0" w:color="auto"/>
        <w:bottom w:val="none" w:sz="0" w:space="0" w:color="auto"/>
        <w:right w:val="none" w:sz="0" w:space="0" w:color="auto"/>
      </w:divBdr>
    </w:div>
    <w:div w:id="1688406914">
      <w:bodyDiv w:val="1"/>
      <w:marLeft w:val="0"/>
      <w:marRight w:val="0"/>
      <w:marTop w:val="0"/>
      <w:marBottom w:val="0"/>
      <w:divBdr>
        <w:top w:val="none" w:sz="0" w:space="0" w:color="auto"/>
        <w:left w:val="none" w:sz="0" w:space="0" w:color="auto"/>
        <w:bottom w:val="none" w:sz="0" w:space="0" w:color="auto"/>
        <w:right w:val="none" w:sz="0" w:space="0" w:color="auto"/>
      </w:divBdr>
    </w:div>
    <w:div w:id="1797521611">
      <w:bodyDiv w:val="1"/>
      <w:marLeft w:val="0"/>
      <w:marRight w:val="0"/>
      <w:marTop w:val="0"/>
      <w:marBottom w:val="0"/>
      <w:divBdr>
        <w:top w:val="none" w:sz="0" w:space="0" w:color="auto"/>
        <w:left w:val="none" w:sz="0" w:space="0" w:color="auto"/>
        <w:bottom w:val="none" w:sz="0" w:space="0" w:color="auto"/>
        <w:right w:val="none" w:sz="0" w:space="0" w:color="auto"/>
      </w:divBdr>
    </w:div>
    <w:div w:id="1849326718">
      <w:bodyDiv w:val="1"/>
      <w:marLeft w:val="0"/>
      <w:marRight w:val="0"/>
      <w:marTop w:val="0"/>
      <w:marBottom w:val="0"/>
      <w:divBdr>
        <w:top w:val="none" w:sz="0" w:space="0" w:color="auto"/>
        <w:left w:val="none" w:sz="0" w:space="0" w:color="auto"/>
        <w:bottom w:val="none" w:sz="0" w:space="0" w:color="auto"/>
        <w:right w:val="none" w:sz="0" w:space="0" w:color="auto"/>
      </w:divBdr>
    </w:div>
    <w:div w:id="1957592049">
      <w:bodyDiv w:val="1"/>
      <w:marLeft w:val="0"/>
      <w:marRight w:val="0"/>
      <w:marTop w:val="0"/>
      <w:marBottom w:val="0"/>
      <w:divBdr>
        <w:top w:val="none" w:sz="0" w:space="0" w:color="auto"/>
        <w:left w:val="none" w:sz="0" w:space="0" w:color="auto"/>
        <w:bottom w:val="none" w:sz="0" w:space="0" w:color="auto"/>
        <w:right w:val="none" w:sz="0" w:space="0" w:color="auto"/>
      </w:divBdr>
    </w:div>
    <w:div w:id="1975256050">
      <w:bodyDiv w:val="1"/>
      <w:marLeft w:val="0"/>
      <w:marRight w:val="0"/>
      <w:marTop w:val="0"/>
      <w:marBottom w:val="0"/>
      <w:divBdr>
        <w:top w:val="none" w:sz="0" w:space="0" w:color="auto"/>
        <w:left w:val="none" w:sz="0" w:space="0" w:color="auto"/>
        <w:bottom w:val="none" w:sz="0" w:space="0" w:color="auto"/>
        <w:right w:val="none" w:sz="0" w:space="0" w:color="auto"/>
      </w:divBdr>
    </w:div>
    <w:div w:id="2001226476">
      <w:marLeft w:val="0"/>
      <w:marRight w:val="0"/>
      <w:marTop w:val="0"/>
      <w:marBottom w:val="0"/>
      <w:divBdr>
        <w:top w:val="none" w:sz="0" w:space="0" w:color="auto"/>
        <w:left w:val="none" w:sz="0" w:space="0" w:color="auto"/>
        <w:bottom w:val="none" w:sz="0" w:space="0" w:color="auto"/>
        <w:right w:val="none" w:sz="0" w:space="0" w:color="auto"/>
      </w:divBdr>
    </w:div>
    <w:div w:id="2006281699">
      <w:bodyDiv w:val="1"/>
      <w:marLeft w:val="0"/>
      <w:marRight w:val="0"/>
      <w:marTop w:val="0"/>
      <w:marBottom w:val="0"/>
      <w:divBdr>
        <w:top w:val="none" w:sz="0" w:space="0" w:color="auto"/>
        <w:left w:val="none" w:sz="0" w:space="0" w:color="auto"/>
        <w:bottom w:val="none" w:sz="0" w:space="0" w:color="auto"/>
        <w:right w:val="none" w:sz="0" w:space="0" w:color="auto"/>
      </w:divBdr>
    </w:div>
    <w:div w:id="2055344880">
      <w:marLeft w:val="0"/>
      <w:marRight w:val="0"/>
      <w:marTop w:val="0"/>
      <w:marBottom w:val="0"/>
      <w:divBdr>
        <w:top w:val="none" w:sz="0" w:space="0" w:color="auto"/>
        <w:left w:val="none" w:sz="0" w:space="0" w:color="auto"/>
        <w:bottom w:val="none" w:sz="0" w:space="0" w:color="auto"/>
        <w:right w:val="none" w:sz="0" w:space="0" w:color="auto"/>
      </w:divBdr>
    </w:div>
    <w:div w:id="2087917365">
      <w:bodyDiv w:val="1"/>
      <w:marLeft w:val="0"/>
      <w:marRight w:val="0"/>
      <w:marTop w:val="0"/>
      <w:marBottom w:val="0"/>
      <w:divBdr>
        <w:top w:val="none" w:sz="0" w:space="0" w:color="auto"/>
        <w:left w:val="none" w:sz="0" w:space="0" w:color="auto"/>
        <w:bottom w:val="none" w:sz="0" w:space="0" w:color="auto"/>
        <w:right w:val="none" w:sz="0" w:space="0" w:color="auto"/>
      </w:divBdr>
    </w:div>
    <w:div w:id="2099252239">
      <w:bodyDiv w:val="1"/>
      <w:marLeft w:val="0"/>
      <w:marRight w:val="0"/>
      <w:marTop w:val="0"/>
      <w:marBottom w:val="0"/>
      <w:divBdr>
        <w:top w:val="none" w:sz="0" w:space="0" w:color="auto"/>
        <w:left w:val="none" w:sz="0" w:space="0" w:color="auto"/>
        <w:bottom w:val="none" w:sz="0" w:space="0" w:color="auto"/>
        <w:right w:val="none" w:sz="0" w:space="0" w:color="auto"/>
      </w:divBdr>
    </w:div>
    <w:div w:id="21288106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package" Target="embeddings/Microsoft_Word_Document11.docx"/><Relationship Id="rId21" Type="http://schemas.openxmlformats.org/officeDocument/2006/relationships/package" Target="embeddings/Microsoft_Word_Document4.docx"/><Relationship Id="rId34" Type="http://schemas.openxmlformats.org/officeDocument/2006/relationships/chart" Target="charts/chart5.xml"/><Relationship Id="rId42" Type="http://schemas.openxmlformats.org/officeDocument/2006/relationships/package" Target="embeddings/Microsoft_Word_Document12.docx"/><Relationship Id="rId47" Type="http://schemas.openxmlformats.org/officeDocument/2006/relationships/image" Target="media/image18.emf"/><Relationship Id="rId50" Type="http://schemas.openxmlformats.org/officeDocument/2006/relationships/package" Target="embeddings/Microsoft_Word_Document16.docx"/><Relationship Id="rId55"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chart" Target="charts/chart4.xml"/><Relationship Id="rId33" Type="http://schemas.openxmlformats.org/officeDocument/2006/relationships/package" Target="embeddings/Microsoft_Word_Document9.docx"/><Relationship Id="rId38" Type="http://schemas.openxmlformats.org/officeDocument/2006/relationships/image" Target="media/image14.emf"/><Relationship Id="rId46" Type="http://schemas.openxmlformats.org/officeDocument/2006/relationships/package" Target="embeddings/Microsoft_Word_Document14.docx"/><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image" Target="media/image7.emf"/><Relationship Id="rId29" Type="http://schemas.openxmlformats.org/officeDocument/2006/relationships/package" Target="embeddings/Microsoft_Word_Document7.docx"/><Relationship Id="rId41" Type="http://schemas.openxmlformats.org/officeDocument/2006/relationships/image" Target="media/image15.emf"/><Relationship Id="rId54" Type="http://schemas.openxmlformats.org/officeDocument/2006/relationships/package" Target="embeddings/Microsoft_Word_Document18.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chart" Target="charts/chart3.xml"/><Relationship Id="rId32" Type="http://schemas.openxmlformats.org/officeDocument/2006/relationships/image" Target="media/image12.emf"/><Relationship Id="rId37" Type="http://schemas.openxmlformats.org/officeDocument/2006/relationships/chart" Target="charts/chart6.xml"/><Relationship Id="rId40" Type="http://schemas.openxmlformats.org/officeDocument/2006/relationships/chart" Target="charts/chart7.xml"/><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package" Target="embeddings/Microsoft_Word_Document5.docx"/><Relationship Id="rId28" Type="http://schemas.openxmlformats.org/officeDocument/2006/relationships/image" Target="media/image10.emf"/><Relationship Id="rId36" Type="http://schemas.openxmlformats.org/officeDocument/2006/relationships/package" Target="embeddings/Microsoft_Word_Document10.docx"/><Relationship Id="rId49" Type="http://schemas.openxmlformats.org/officeDocument/2006/relationships/image" Target="media/image19.emf"/><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package" Target="embeddings/Microsoft_Word_Document3.docx"/><Relationship Id="rId31" Type="http://schemas.openxmlformats.org/officeDocument/2006/relationships/package" Target="embeddings/Microsoft_Word_Document8.docx"/><Relationship Id="rId44" Type="http://schemas.openxmlformats.org/officeDocument/2006/relationships/package" Target="embeddings/Microsoft_Word_Document13.docx"/><Relationship Id="rId52" Type="http://schemas.openxmlformats.org/officeDocument/2006/relationships/package" Target="embeddings/Microsoft_Word_Document17.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Word_Document1.docx"/><Relationship Id="rId22" Type="http://schemas.openxmlformats.org/officeDocument/2006/relationships/image" Target="media/image8.emf"/><Relationship Id="rId27" Type="http://schemas.openxmlformats.org/officeDocument/2006/relationships/package" Target="embeddings/Microsoft_Word_Document6.docx"/><Relationship Id="rId30" Type="http://schemas.openxmlformats.org/officeDocument/2006/relationships/image" Target="media/image11.emf"/><Relationship Id="rId35" Type="http://schemas.openxmlformats.org/officeDocument/2006/relationships/image" Target="media/image13.emf"/><Relationship Id="rId43" Type="http://schemas.openxmlformats.org/officeDocument/2006/relationships/image" Target="media/image16.emf"/><Relationship Id="rId48" Type="http://schemas.openxmlformats.org/officeDocument/2006/relationships/package" Target="embeddings/Microsoft_Word_Document15.docx"/><Relationship Id="rId56" Type="http://schemas.openxmlformats.org/officeDocument/2006/relationships/package" Target="embeddings/Microsoft_Word_Document19.docx"/><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LPR\Librazhd\Librazhd%203\arsimi%20plotesuar.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LPR\Librazhd\Librazhd%203\Bashki_PowerQuery_Mbetjet_Librazhd.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LPR\Librazhd\Librazhd%203\Bashki_PowerQuery_Zjarri_2_librazhd.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LPR\Librazhd\Librazhd%203\bujqesia%20plotesuar.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LPR\Librazhd\Librazhd%203\Bashki_Pyjet_Librazhd.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LPR\Librazhd\Librazhd%203\Bashki_Mbrojtja%20Sociale_2_Librazhd.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LPR\Librazhd\Librazhd%203\Bashki_PowerQuery_Burimet%20Njerezore%203_Librazhd.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[arsimi plotesuar.xlsm]Viz!PivotTable1</c:name>
    <c:fmtId val="-1"/>
  </c:pivotSource>
  <c:chart>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2">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Viz!$B$1</c:f>
              <c:strCache>
                <c:ptCount val="1"/>
                <c:pt idx="0">
                  <c:v>Sum of Vlera 2024 (calc)</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Viz!$A$2:$A$4</c:f>
              <c:strCache>
                <c:ptCount val="2"/>
                <c:pt idx="0">
                  <c:v>Shkalla e regjistrimit në çerdhe publike</c:v>
                </c:pt>
                <c:pt idx="1">
                  <c:v>Shkalla e regjistrimit në kopshte publike dhe private</c:v>
                </c:pt>
              </c:strCache>
            </c:strRef>
          </c:cat>
          <c:val>
            <c:numRef>
              <c:f>Viz!$B$2:$B$4</c:f>
              <c:numCache>
                <c:formatCode>0.00</c:formatCode>
                <c:ptCount val="2"/>
                <c:pt idx="0">
                  <c:v>8.3892617449664435</c:v>
                </c:pt>
                <c:pt idx="1">
                  <c:v>65.883668903803127</c:v>
                </c:pt>
              </c:numCache>
            </c:numRef>
          </c:val>
          <c:extLst xmlns:c16r2="http://schemas.microsoft.com/office/drawing/2015/06/chart">
            <c:ext xmlns:c16="http://schemas.microsoft.com/office/drawing/2014/chart" uri="{C3380CC4-5D6E-409C-BE32-E72D297353CC}">
              <c16:uniqueId val="{00000000-FCD7-0A48-BC26-3663E82AA33B}"/>
            </c:ext>
          </c:extLst>
        </c:ser>
        <c:ser>
          <c:idx val="1"/>
          <c:order val="1"/>
          <c:tx>
            <c:strRef>
              <c:f>Viz!$C$1</c:f>
              <c:strCache>
                <c:ptCount val="1"/>
                <c:pt idx="0">
                  <c:v>Sum of Vlera 2023 (calc)</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Viz!$A$2:$A$4</c:f>
              <c:strCache>
                <c:ptCount val="2"/>
                <c:pt idx="0">
                  <c:v>Shkalla e regjistrimit në çerdhe publike</c:v>
                </c:pt>
                <c:pt idx="1">
                  <c:v>Shkalla e regjistrimit në kopshte publike dhe private</c:v>
                </c:pt>
              </c:strCache>
            </c:strRef>
          </c:cat>
          <c:val>
            <c:numRef>
              <c:f>Viz!$C$2:$C$4</c:f>
              <c:numCache>
                <c:formatCode>0.00</c:formatCode>
                <c:ptCount val="2"/>
                <c:pt idx="0">
                  <c:v>9.9875156054931331</c:v>
                </c:pt>
                <c:pt idx="1">
                  <c:v>80.760626398210292</c:v>
                </c:pt>
              </c:numCache>
            </c:numRef>
          </c:val>
          <c:extLst xmlns:c16r2="http://schemas.microsoft.com/office/drawing/2015/06/chart">
            <c:ext xmlns:c16="http://schemas.microsoft.com/office/drawing/2014/chart" uri="{C3380CC4-5D6E-409C-BE32-E72D297353CC}">
              <c16:uniqueId val="{00000001-FCD7-0A48-BC26-3663E82AA33B}"/>
            </c:ext>
          </c:extLst>
        </c:ser>
        <c:dLbls>
          <c:dLblPos val="inEnd"/>
          <c:showLegendKey val="0"/>
          <c:showVal val="1"/>
          <c:showCatName val="0"/>
          <c:showSerName val="0"/>
          <c:showPercent val="0"/>
          <c:showBubbleSize val="0"/>
        </c:dLbls>
        <c:gapWidth val="65"/>
        <c:axId val="337782272"/>
        <c:axId val="337783808"/>
      </c:barChart>
      <c:catAx>
        <c:axId val="337782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7783808"/>
        <c:crosses val="autoZero"/>
        <c:auto val="1"/>
        <c:lblAlgn val="ctr"/>
        <c:lblOffset val="100"/>
        <c:noMultiLvlLbl val="0"/>
      </c:catAx>
      <c:valAx>
        <c:axId val="337783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37782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[Bashki_PowerQuery_Mbetjet_Librazhd.xlsm]Viz!PivotTable3</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Mbulimi me Sherbimin e Mbetjeve, 2023-2024</a:t>
            </a:r>
          </a:p>
        </c:rich>
      </c:tx>
      <c:overlay val="0"/>
      <c:spPr>
        <a:noFill/>
        <a:ln>
          <a:noFill/>
        </a:ln>
        <a:effectLst/>
      </c:spPr>
    </c:title>
    <c:autoTitleDeleted val="0"/>
    <c:pivotFmts>
      <c:pivotFmt>
        <c:idx val="0"/>
        <c:dLbl>
          <c:idx val="0"/>
          <c:delete val="1"/>
          <c:extLst xmlns:c16r2="http://schemas.microsoft.com/office/drawing/2015/06/chart">
            <c:ext xmlns:c15="http://schemas.microsoft.com/office/drawing/2012/chart" uri="{CE6537A1-D6FC-4f65-9D91-7224C49458BB}"/>
          </c:extLst>
        </c:dLbl>
      </c:pivotFmt>
      <c:pivotFmt>
        <c:idx val="1"/>
        <c:dLbl>
          <c:idx val="0"/>
          <c:delete val="1"/>
          <c:extLst xmlns:c16r2="http://schemas.microsoft.com/office/drawing/2015/06/char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4.954954954954955E-2"/>
          <c:y val="0.12069368845672815"/>
          <c:w val="0.9504504504504504"/>
          <c:h val="0.55689725025982495"/>
        </c:manualLayout>
      </c:layout>
      <c:barChart>
        <c:barDir val="col"/>
        <c:grouping val="clustered"/>
        <c:varyColors val="0"/>
        <c:ser>
          <c:idx val="0"/>
          <c:order val="0"/>
          <c:tx>
            <c:strRef>
              <c:f>Viz!$B$28</c:f>
              <c:strCache>
                <c:ptCount val="1"/>
                <c:pt idx="0">
                  <c:v>Sum of Vlera 2023 (calc)</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Viz!$A$29:$A$30</c:f>
              <c:strCache>
                <c:ptCount val="2"/>
                <c:pt idx="0">
                  <c:v>Mbulimi i popullsisë me shërbimin e menaxhimit të mbetjeve në zonat rurale</c:v>
                </c:pt>
                <c:pt idx="1">
                  <c:v>Mbulimi i popullsisë me shërbimin e menaxhimit të mbetjeve në zonat urbane</c:v>
                </c:pt>
              </c:strCache>
            </c:strRef>
          </c:cat>
          <c:val>
            <c:numRef>
              <c:f>Viz!$B$29:$B$30</c:f>
              <c:numCache>
                <c:formatCode>0.00</c:formatCode>
                <c:ptCount val="2"/>
                <c:pt idx="0">
                  <c:v>36.538461538461533</c:v>
                </c:pt>
                <c:pt idx="1">
                  <c:v>85.714285714285708</c:v>
                </c:pt>
              </c:numCache>
            </c:numRef>
          </c:val>
          <c:extLst xmlns:c16r2="http://schemas.microsoft.com/office/drawing/2015/06/chart">
            <c:ext xmlns:c16="http://schemas.microsoft.com/office/drawing/2014/chart" uri="{C3380CC4-5D6E-409C-BE32-E72D297353CC}">
              <c16:uniqueId val="{00000000-52B4-3F40-8E9B-12F22D2C1381}"/>
            </c:ext>
          </c:extLst>
        </c:ser>
        <c:ser>
          <c:idx val="1"/>
          <c:order val="1"/>
          <c:tx>
            <c:strRef>
              <c:f>Viz!$C$28</c:f>
              <c:strCache>
                <c:ptCount val="1"/>
                <c:pt idx="0">
                  <c:v>Sum of Vlera 2024 (calc)</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Viz!$A$29:$A$30</c:f>
              <c:strCache>
                <c:ptCount val="2"/>
                <c:pt idx="0">
                  <c:v>Mbulimi i popullsisë me shërbimin e menaxhimit të mbetjeve në zonat rurale</c:v>
                </c:pt>
                <c:pt idx="1">
                  <c:v>Mbulimi i popullsisë me shërbimin e menaxhimit të mbetjeve në zonat urbane</c:v>
                </c:pt>
              </c:strCache>
            </c:strRef>
          </c:cat>
          <c:val>
            <c:numRef>
              <c:f>Viz!$C$29:$C$30</c:f>
              <c:numCache>
                <c:formatCode>0.00</c:formatCode>
                <c:ptCount val="2"/>
                <c:pt idx="0">
                  <c:v>28.846153846153843</c:v>
                </c:pt>
                <c:pt idx="1">
                  <c:v>100</c:v>
                </c:pt>
              </c:numCache>
            </c:numRef>
          </c:val>
          <c:extLst xmlns:c16r2="http://schemas.microsoft.com/office/drawing/2015/06/chart">
            <c:ext xmlns:c16="http://schemas.microsoft.com/office/drawing/2014/chart" uri="{C3380CC4-5D6E-409C-BE32-E72D297353CC}">
              <c16:uniqueId val="{00000001-52B4-3F40-8E9B-12F22D2C1381}"/>
            </c:ext>
          </c:extLst>
        </c:ser>
        <c:dLbls>
          <c:dLblPos val="inEnd"/>
          <c:showLegendKey val="0"/>
          <c:showVal val="1"/>
          <c:showCatName val="0"/>
          <c:showSerName val="0"/>
          <c:showPercent val="0"/>
          <c:showBubbleSize val="0"/>
        </c:dLbls>
        <c:gapWidth val="41"/>
        <c:axId val="337973248"/>
        <c:axId val="337974784"/>
      </c:barChart>
      <c:catAx>
        <c:axId val="33797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37974784"/>
        <c:crosses val="autoZero"/>
        <c:auto val="1"/>
        <c:lblAlgn val="ctr"/>
        <c:lblOffset val="100"/>
        <c:noMultiLvlLbl val="0"/>
      </c:catAx>
      <c:valAx>
        <c:axId val="337974784"/>
        <c:scaling>
          <c:orientation val="minMax"/>
        </c:scaling>
        <c:delete val="1"/>
        <c:axPos val="l"/>
        <c:numFmt formatCode="0.00" sourceLinked="1"/>
        <c:majorTickMark val="none"/>
        <c:minorTickMark val="none"/>
        <c:tickLblPos val="nextTo"/>
        <c:crossAx val="33797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[Bashki_PowerQuery_Zjarri_2_librazhd.xlsm]Viz!PivotTable7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Treguesit Mbrojtja nga Zjarri, 2023-2024</a:t>
            </a:r>
          </a:p>
        </c:rich>
      </c:tx>
      <c:overlay val="0"/>
      <c:spPr>
        <a:noFill/>
        <a:ln>
          <a:noFill/>
        </a:ln>
        <a:effectLst/>
      </c:sp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0139991268626491"/>
          <c:y val="0.22288806819501547"/>
          <c:w val="0.89470815992914032"/>
          <c:h val="0.51526862239565185"/>
        </c:manualLayout>
      </c:layout>
      <c:barChart>
        <c:barDir val="col"/>
        <c:grouping val="clustered"/>
        <c:varyColors val="0"/>
        <c:ser>
          <c:idx val="0"/>
          <c:order val="0"/>
          <c:tx>
            <c:strRef>
              <c:f>Viz!$B$5</c:f>
              <c:strCache>
                <c:ptCount val="1"/>
                <c:pt idx="0">
                  <c:v>Vlera 2023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Viz!$A$6:$A$7</c:f>
              <c:strCache>
                <c:ptCount val="2"/>
                <c:pt idx="0">
                  <c:v>Automjete zjarrëfikëse për 10,000 banorë</c:v>
                </c:pt>
                <c:pt idx="1">
                  <c:v>Zjarrëfikës për 1,500 banorë</c:v>
                </c:pt>
              </c:strCache>
            </c:strRef>
          </c:cat>
          <c:val>
            <c:numRef>
              <c:f>Viz!$B$6:$B$7</c:f>
              <c:numCache>
                <c:formatCode>0.00</c:formatCode>
                <c:ptCount val="2"/>
                <c:pt idx="0">
                  <c:v>0.69658903568857822</c:v>
                </c:pt>
                <c:pt idx="1">
                  <c:v>0.55727122855086264</c:v>
                </c:pt>
              </c:numCache>
            </c:numRef>
          </c:val>
          <c:extLst xmlns:c16r2="http://schemas.microsoft.com/office/drawing/2015/06/chart">
            <c:ext xmlns:c16="http://schemas.microsoft.com/office/drawing/2014/chart" uri="{C3380CC4-5D6E-409C-BE32-E72D297353CC}">
              <c16:uniqueId val="{00000000-24AF-CF40-866C-89298D731787}"/>
            </c:ext>
          </c:extLst>
        </c:ser>
        <c:ser>
          <c:idx val="1"/>
          <c:order val="1"/>
          <c:tx>
            <c:strRef>
              <c:f>Viz!$C$5</c:f>
              <c:strCache>
                <c:ptCount val="1"/>
                <c:pt idx="0">
                  <c:v> Vlera 2024 </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Viz!$A$6:$A$7</c:f>
              <c:strCache>
                <c:ptCount val="2"/>
                <c:pt idx="0">
                  <c:v>Automjete zjarrëfikëse për 10,000 banorë</c:v>
                </c:pt>
                <c:pt idx="1">
                  <c:v>Zjarrëfikës për 1,500 banorë</c:v>
                </c:pt>
              </c:strCache>
            </c:strRef>
          </c:cat>
          <c:val>
            <c:numRef>
              <c:f>Viz!$C$6:$C$7</c:f>
              <c:numCache>
                <c:formatCode>0.00</c:formatCode>
                <c:ptCount val="2"/>
                <c:pt idx="0">
                  <c:v>0.69778801200195373</c:v>
                </c:pt>
                <c:pt idx="1">
                  <c:v>0.558230409601563</c:v>
                </c:pt>
              </c:numCache>
            </c:numRef>
          </c:val>
          <c:extLst xmlns:c16r2="http://schemas.microsoft.com/office/drawing/2015/06/chart">
            <c:ext xmlns:c16="http://schemas.microsoft.com/office/drawing/2014/chart" uri="{C3380CC4-5D6E-409C-BE32-E72D297353CC}">
              <c16:uniqueId val="{00000001-24AF-CF40-866C-89298D731787}"/>
            </c:ext>
          </c:extLst>
        </c:ser>
        <c:dLbls>
          <c:showLegendKey val="0"/>
          <c:showVal val="0"/>
          <c:showCatName val="0"/>
          <c:showSerName val="0"/>
          <c:showPercent val="0"/>
          <c:showBubbleSize val="0"/>
        </c:dLbls>
        <c:gapWidth val="219"/>
        <c:overlap val="-27"/>
        <c:axId val="338035456"/>
        <c:axId val="338036992"/>
      </c:barChart>
      <c:catAx>
        <c:axId val="33803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036992"/>
        <c:crosses val="autoZero"/>
        <c:auto val="1"/>
        <c:lblAlgn val="ctr"/>
        <c:lblOffset val="100"/>
        <c:noMultiLvlLbl val="0"/>
      </c:catAx>
      <c:valAx>
        <c:axId val="33803699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035456"/>
        <c:crosses val="autoZero"/>
        <c:crossBetween val="between"/>
      </c:valAx>
      <c:spPr>
        <a:noFill/>
        <a:ln>
          <a:noFill/>
        </a:ln>
        <a:effectLst/>
      </c:spPr>
    </c:plotArea>
    <c:legend>
      <c:legendPos val="b"/>
      <c:layout>
        <c:manualLayout>
          <c:xMode val="edge"/>
          <c:yMode val="edge"/>
          <c:x val="5.6174809773384002E-2"/>
          <c:y val="0.84735279771444505"/>
          <c:w val="0.94382524059492567"/>
          <c:h val="0.14539187809857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[bujqesia plotesuar.xlsm]Viz!PivotTable2</c:name>
    <c:fmtId val="-1"/>
  </c:pivotSource>
  <c:chart>
    <c:autoTitleDeleted val="0"/>
    <c:pivotFmts>
      <c:pivotFmt>
        <c:idx val="0"/>
        <c:dLbl>
          <c:idx val="0"/>
          <c:delete val="1"/>
          <c:extLst xmlns:c16r2="http://schemas.microsoft.com/office/drawing/2015/06/chart">
            <c:ext xmlns:c15="http://schemas.microsoft.com/office/drawing/2012/chart" uri="{CE6537A1-D6FC-4f65-9D91-7224C49458BB}"/>
          </c:extLst>
        </c:dLbl>
      </c:pivotFmt>
      <c:pivotFmt>
        <c:idx val="1"/>
        <c:dLbl>
          <c:idx val="0"/>
          <c:delete val="1"/>
          <c:extLst xmlns:c16r2="http://schemas.microsoft.com/office/drawing/2015/06/chart">
            <c:ext xmlns:c15="http://schemas.microsoft.com/office/drawing/2012/chart" uri="{CE6537A1-D6FC-4f65-9D91-7224C49458BB}"/>
          </c:extLst>
        </c:dLbl>
      </c:pivotFmt>
      <c:pivotFmt>
        <c:idx val="2"/>
        <c:dLbl>
          <c:idx val="0"/>
          <c:delete val="1"/>
          <c:extLst xmlns:c16r2="http://schemas.microsoft.com/office/drawing/2015/06/chart">
            <c:ext xmlns:c15="http://schemas.microsoft.com/office/drawing/2012/chart" uri="{CE6537A1-D6FC-4f65-9D91-7224C49458BB}"/>
          </c:extLst>
        </c:dLbl>
      </c:pivotFmt>
      <c:pivotFmt>
        <c:idx val="3"/>
        <c:dLbl>
          <c:idx val="0"/>
          <c:delete val="1"/>
          <c:extLst xmlns:c16r2="http://schemas.microsoft.com/office/drawing/2015/06/chart">
            <c:ext xmlns:c15="http://schemas.microsoft.com/office/drawing/2012/chart" uri="{CE6537A1-D6FC-4f65-9D91-7224C49458BB}"/>
          </c:extLst>
        </c:dLbl>
      </c:pivotFmt>
      <c:pivotFmt>
        <c:idx val="4"/>
        <c:dLbl>
          <c:idx val="0"/>
          <c:delete val="1"/>
          <c:extLst xmlns:c16r2="http://schemas.microsoft.com/office/drawing/2015/06/chart">
            <c:ext xmlns:c15="http://schemas.microsoft.com/office/drawing/2012/chart" uri="{CE6537A1-D6FC-4f65-9D91-7224C49458BB}"/>
          </c:extLst>
        </c:dLbl>
      </c:pivotFmt>
      <c:pivotFmt>
        <c:idx val="5"/>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2">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delete val="1"/>
          <c:extLst xmlns:c16r2="http://schemas.microsoft.com/office/drawing/2015/06/chart">
            <c:ext xmlns:c15="http://schemas.microsoft.com/office/drawing/2012/chart" uri="{CE6537A1-D6FC-4f65-9D91-7224C49458BB}"/>
          </c:extLst>
        </c:dLbl>
      </c:pivotFmt>
      <c:pivotFmt>
        <c:idx val="8"/>
        <c:dLbl>
          <c:idx val="0"/>
          <c:delete val="1"/>
          <c:extLst xmlns:c16r2="http://schemas.microsoft.com/office/drawing/2015/06/chart">
            <c:ext xmlns:c15="http://schemas.microsoft.com/office/drawing/2012/chart" uri="{CE6537A1-D6FC-4f65-9D91-7224C49458BB}"/>
          </c:extLst>
        </c:dLbl>
      </c:pivotFmt>
      <c:pivotFmt>
        <c:idx val="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Viz!$B$2</c:f>
              <c:strCache>
                <c:ptCount val="1"/>
                <c:pt idx="0">
                  <c:v> Vlera 2023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Viz!$A$3:$A$4</c:f>
              <c:strCache>
                <c:ptCount val="2"/>
                <c:pt idx="0">
                  <c:v>Përqindja e kanaleve ujitëse dhe kulluese funksionale</c:v>
                </c:pt>
                <c:pt idx="1">
                  <c:v>Tokë bujqësore e pajisur me kanale ujitje/kullimi</c:v>
                </c:pt>
              </c:strCache>
            </c:strRef>
          </c:cat>
          <c:val>
            <c:numRef>
              <c:f>Viz!$B$3:$B$4</c:f>
              <c:numCache>
                <c:formatCode>0.00</c:formatCode>
                <c:ptCount val="2"/>
                <c:pt idx="0">
                  <c:v>97.132169576059852</c:v>
                </c:pt>
                <c:pt idx="1">
                  <c:v>43.924364538127712</c:v>
                </c:pt>
              </c:numCache>
            </c:numRef>
          </c:val>
          <c:extLst xmlns:c16r2="http://schemas.microsoft.com/office/drawing/2015/06/chart">
            <c:ext xmlns:c16="http://schemas.microsoft.com/office/drawing/2014/chart" uri="{C3380CC4-5D6E-409C-BE32-E72D297353CC}">
              <c16:uniqueId val="{00000000-5D0D-1445-B781-74677C2FBB30}"/>
            </c:ext>
          </c:extLst>
        </c:ser>
        <c:ser>
          <c:idx val="1"/>
          <c:order val="1"/>
          <c:tx>
            <c:strRef>
              <c:f>Viz!$C$2</c:f>
              <c:strCache>
                <c:ptCount val="1"/>
                <c:pt idx="0">
                  <c:v> Vlera 2024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Viz!$A$3:$A$4</c:f>
              <c:strCache>
                <c:ptCount val="2"/>
                <c:pt idx="0">
                  <c:v>Përqindja e kanaleve ujitëse dhe kulluese funksionale</c:v>
                </c:pt>
                <c:pt idx="1">
                  <c:v>Tokë bujqësore e pajisur me kanale ujitje/kullimi</c:v>
                </c:pt>
              </c:strCache>
            </c:strRef>
          </c:cat>
          <c:val>
            <c:numRef>
              <c:f>Viz!$C$3:$C$4</c:f>
              <c:numCache>
                <c:formatCode>0.00</c:formatCode>
                <c:ptCount val="2"/>
                <c:pt idx="0">
                  <c:v>100</c:v>
                </c:pt>
                <c:pt idx="1">
                  <c:v>43.924364538127712</c:v>
                </c:pt>
              </c:numCache>
            </c:numRef>
          </c:val>
          <c:extLst xmlns:c16r2="http://schemas.microsoft.com/office/drawing/2015/06/chart">
            <c:ext xmlns:c16="http://schemas.microsoft.com/office/drawing/2014/chart" uri="{C3380CC4-5D6E-409C-BE32-E72D297353CC}">
              <c16:uniqueId val="{00000001-5D0D-1445-B781-74677C2FBB30}"/>
            </c:ext>
          </c:extLst>
        </c:ser>
        <c:dLbls>
          <c:dLblPos val="inEnd"/>
          <c:showLegendKey val="0"/>
          <c:showVal val="1"/>
          <c:showCatName val="0"/>
          <c:showSerName val="0"/>
          <c:showPercent val="0"/>
          <c:showBubbleSize val="0"/>
        </c:dLbls>
        <c:gapWidth val="65"/>
        <c:axId val="338099584"/>
        <c:axId val="338166912"/>
      </c:barChart>
      <c:catAx>
        <c:axId val="338099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8166912"/>
        <c:crosses val="autoZero"/>
        <c:auto val="1"/>
        <c:lblAlgn val="ctr"/>
        <c:lblOffset val="100"/>
        <c:noMultiLvlLbl val="0"/>
      </c:catAx>
      <c:valAx>
        <c:axId val="338166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38099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[Bashki_Pyjet_Librazhd.xlsm]Viz!PivotTable7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Shkalla</a:t>
            </a:r>
            <a:r>
              <a:rPr lang="en-US" baseline="0"/>
              <a:t> e Paisjes me Plan Mbareshtrimi, %, 2023-2024</a:t>
            </a:r>
            <a:endParaRPr lang="en-US"/>
          </a:p>
        </c:rich>
      </c:tx>
      <c:overlay val="0"/>
      <c:spPr>
        <a:noFill/>
        <a:ln>
          <a:noFill/>
        </a:ln>
        <a:effectLst/>
      </c:sp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8.2545768937691721E-2"/>
          <c:y val="0.18159013309177061"/>
          <c:w val="0.89470815992914032"/>
          <c:h val="0.63916242770538634"/>
        </c:manualLayout>
      </c:layout>
      <c:barChart>
        <c:barDir val="col"/>
        <c:grouping val="clustered"/>
        <c:varyColors val="0"/>
        <c:ser>
          <c:idx val="0"/>
          <c:order val="0"/>
          <c:tx>
            <c:strRef>
              <c:f>Viz!$B$5</c:f>
              <c:strCache>
                <c:ptCount val="1"/>
                <c:pt idx="0">
                  <c:v>Vlera 2023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Viz!$A$6</c:f>
              <c:strCache>
                <c:ptCount val="1"/>
                <c:pt idx="0">
                  <c:v>Shkalla e pajisjes me plane mbarështimi</c:v>
                </c:pt>
              </c:strCache>
            </c:strRef>
          </c:cat>
          <c:val>
            <c:numRef>
              <c:f>Viz!$B$6</c:f>
              <c:numCache>
                <c:formatCode>0.00</c:formatCode>
                <c:ptCount val="1"/>
                <c:pt idx="0">
                  <c:v>17.879004311827103</c:v>
                </c:pt>
              </c:numCache>
            </c:numRef>
          </c:val>
          <c:extLst xmlns:c16r2="http://schemas.microsoft.com/office/drawing/2015/06/chart">
            <c:ext xmlns:c16="http://schemas.microsoft.com/office/drawing/2014/chart" uri="{C3380CC4-5D6E-409C-BE32-E72D297353CC}">
              <c16:uniqueId val="{00000000-7E1C-6841-856C-B49F3E55769A}"/>
            </c:ext>
          </c:extLst>
        </c:ser>
        <c:ser>
          <c:idx val="1"/>
          <c:order val="1"/>
          <c:tx>
            <c:strRef>
              <c:f>Viz!$C$5</c:f>
              <c:strCache>
                <c:ptCount val="1"/>
                <c:pt idx="0">
                  <c:v> Vlera 2024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Viz!$A$6</c:f>
              <c:strCache>
                <c:ptCount val="1"/>
                <c:pt idx="0">
                  <c:v>Shkalla e pajisjes me plane mbarështimi</c:v>
                </c:pt>
              </c:strCache>
            </c:strRef>
          </c:cat>
          <c:val>
            <c:numRef>
              <c:f>Viz!$C$6</c:f>
              <c:numCache>
                <c:formatCode>0.00</c:formatCode>
                <c:ptCount val="1"/>
                <c:pt idx="0">
                  <c:v>20.82442562830331</c:v>
                </c:pt>
              </c:numCache>
            </c:numRef>
          </c:val>
          <c:extLst xmlns:c16r2="http://schemas.microsoft.com/office/drawing/2015/06/chart">
            <c:ext xmlns:c16="http://schemas.microsoft.com/office/drawing/2014/chart" uri="{C3380CC4-5D6E-409C-BE32-E72D297353CC}">
              <c16:uniqueId val="{00000001-7E1C-6841-856C-B49F3E55769A}"/>
            </c:ext>
          </c:extLst>
        </c:ser>
        <c:dLbls>
          <c:showLegendKey val="0"/>
          <c:showVal val="0"/>
          <c:showCatName val="0"/>
          <c:showSerName val="0"/>
          <c:showPercent val="0"/>
          <c:showBubbleSize val="0"/>
        </c:dLbls>
        <c:gapWidth val="219"/>
        <c:overlap val="-27"/>
        <c:axId val="338211584"/>
        <c:axId val="338213120"/>
      </c:barChart>
      <c:catAx>
        <c:axId val="33821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213120"/>
        <c:crosses val="autoZero"/>
        <c:auto val="1"/>
        <c:lblAlgn val="ctr"/>
        <c:lblOffset val="100"/>
        <c:noMultiLvlLbl val="0"/>
      </c:catAx>
      <c:valAx>
        <c:axId val="3382131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211584"/>
        <c:crosses val="autoZero"/>
        <c:crossBetween val="between"/>
      </c:valAx>
      <c:spPr>
        <a:noFill/>
        <a:ln>
          <a:noFill/>
        </a:ln>
        <a:effectLst/>
      </c:spPr>
    </c:plotArea>
    <c:legend>
      <c:legendPos val="b"/>
      <c:layout>
        <c:manualLayout>
          <c:xMode val="edge"/>
          <c:yMode val="edge"/>
          <c:x val="4.1848099933067102E-2"/>
          <c:y val="0.8532525027291944"/>
          <c:w val="0.94382524059492567"/>
          <c:h val="0.14539187809857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[Bashki_Mbrojtja Sociale_2_Librazhd.xlsm]Viz!PivotTable2</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Treguesit e Mbrojtjes Sociale,</a:t>
            </a:r>
            <a:r>
              <a:rPr lang="en-US" baseline="0"/>
              <a:t> 2023-2024, %</a:t>
            </a:r>
            <a:endParaRPr lang="en-US"/>
          </a:p>
        </c:rich>
      </c:tx>
      <c:overlay val="0"/>
      <c:spPr>
        <a:noFill/>
        <a:ln>
          <a:noFill/>
        </a:ln>
        <a:effectLst/>
      </c:spPr>
    </c:title>
    <c:autoTitleDeleted val="0"/>
    <c:pivotFmts>
      <c:pivotFmt>
        <c:idx val="0"/>
        <c:dLbl>
          <c:idx val="0"/>
          <c:delete val="1"/>
          <c:extLst xmlns:c16r2="http://schemas.microsoft.com/office/drawing/2015/06/chart">
            <c:ext xmlns:c15="http://schemas.microsoft.com/office/drawing/2012/chart" uri="{CE6537A1-D6FC-4f65-9D91-7224C49458BB}"/>
          </c:extLst>
        </c:dLbl>
      </c:pivotFmt>
      <c:pivotFmt>
        <c:idx val="1"/>
        <c:dLbl>
          <c:idx val="0"/>
          <c:delete val="1"/>
          <c:extLst xmlns:c16r2="http://schemas.microsoft.com/office/drawing/2015/06/chart">
            <c:ext xmlns:c15="http://schemas.microsoft.com/office/drawing/2012/chart" uri="{CE6537A1-D6FC-4f65-9D91-7224C49458BB}"/>
          </c:extLst>
        </c:dLbl>
      </c:pivotFmt>
      <c:pivotFmt>
        <c:idx val="2"/>
        <c:dLbl>
          <c:idx val="0"/>
          <c:delete val="1"/>
          <c:extLst xmlns:c16r2="http://schemas.microsoft.com/office/drawing/2015/06/chart">
            <c:ext xmlns:c15="http://schemas.microsoft.com/office/drawing/2012/chart" uri="{CE6537A1-D6FC-4f65-9D91-7224C49458BB}"/>
          </c:extLst>
        </c:dLbl>
      </c:pivotFmt>
      <c:pivotFmt>
        <c:idx val="3"/>
        <c:dLbl>
          <c:idx val="0"/>
          <c:delete val="1"/>
          <c:extLst xmlns:c16r2="http://schemas.microsoft.com/office/drawing/2015/06/chart">
            <c:ext xmlns:c15="http://schemas.microsoft.com/office/drawing/2012/chart" uri="{CE6537A1-D6FC-4f65-9D91-7224C49458BB}"/>
          </c:extLst>
        </c:dLbl>
      </c:pivotFmt>
      <c:pivotFmt>
        <c:idx val="4"/>
        <c:dLbl>
          <c:idx val="0"/>
          <c:delete val="1"/>
          <c:extLst xmlns:c16r2="http://schemas.microsoft.com/office/drawing/2015/06/chart">
            <c:ext xmlns:c15="http://schemas.microsoft.com/office/drawing/2012/chart" uri="{CE6537A1-D6FC-4f65-9D91-7224C49458BB}"/>
          </c:extLst>
        </c:dLbl>
      </c:pivotFmt>
      <c:pivotFmt>
        <c:idx val="5"/>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2">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delete val="1"/>
          <c:extLst xmlns:c16r2="http://schemas.microsoft.com/office/drawing/2015/06/chart">
            <c:ext xmlns:c15="http://schemas.microsoft.com/office/drawing/2012/chart" uri="{CE6537A1-D6FC-4f65-9D91-7224C49458BB}"/>
          </c:extLst>
        </c:dLbl>
      </c:pivotFmt>
      <c:pivotFmt>
        <c:idx val="8"/>
        <c:dLbl>
          <c:idx val="0"/>
          <c:delete val="1"/>
          <c:extLst xmlns:c16r2="http://schemas.microsoft.com/office/drawing/2015/06/chart">
            <c:ext xmlns:c15="http://schemas.microsoft.com/office/drawing/2012/chart" uri="{CE6537A1-D6FC-4f65-9D91-7224C49458BB}"/>
          </c:extLst>
        </c:dLbl>
      </c:pivotFmt>
      <c:pivotFmt>
        <c:idx val="9"/>
        <c:dLbl>
          <c:idx val="0"/>
          <c:delete val="1"/>
          <c:extLst xmlns:c16r2="http://schemas.microsoft.com/office/drawing/2015/06/chart">
            <c:ext xmlns:c15="http://schemas.microsoft.com/office/drawing/2012/chart" uri="{CE6537A1-D6FC-4f65-9D91-7224C49458BB}"/>
          </c:extLst>
        </c:dLbl>
      </c:pivotFmt>
      <c:pivotFmt>
        <c:idx val="10"/>
        <c:dLbl>
          <c:idx val="0"/>
          <c:delete val="1"/>
          <c:extLst xmlns:c16r2="http://schemas.microsoft.com/office/drawing/2015/06/chart">
            <c:ext xmlns:c15="http://schemas.microsoft.com/office/drawing/2012/chart" uri="{CE6537A1-D6FC-4f65-9D91-7224C49458BB}"/>
          </c:extLst>
        </c:dLbl>
      </c:pivotFmt>
      <c:pivotFmt>
        <c:idx val="11"/>
        <c:dLbl>
          <c:idx val="0"/>
          <c:delete val="1"/>
          <c:extLst xmlns:c16r2="http://schemas.microsoft.com/office/drawing/2015/06/chart">
            <c:ext xmlns:c15="http://schemas.microsoft.com/office/drawing/2012/chart" uri="{CE6537A1-D6FC-4f65-9D91-7224C49458BB}"/>
          </c:extLst>
        </c:dLbl>
      </c:pivotFmt>
      <c:pivotFmt>
        <c:idx val="1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1.1686586985391767E-2"/>
          <c:y val="0.13743928358586791"/>
          <c:w val="0.97662682602921647"/>
          <c:h val="0.54395191558858214"/>
        </c:manualLayout>
      </c:layout>
      <c:barChart>
        <c:barDir val="col"/>
        <c:grouping val="clustered"/>
        <c:varyColors val="0"/>
        <c:ser>
          <c:idx val="0"/>
          <c:order val="0"/>
          <c:tx>
            <c:strRef>
              <c:f>Viz!$B$11</c:f>
              <c:strCache>
                <c:ptCount val="1"/>
                <c:pt idx="0">
                  <c:v> Vlera 2023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Viz!$A$12:$A$14</c:f>
              <c:strCache>
                <c:ptCount val="3"/>
                <c:pt idx="0">
                  <c:v>Përqindja e familjeve që marrin ndihmë ekonomike</c:v>
                </c:pt>
                <c:pt idx="1">
                  <c:v>Përqindja e personave me aftësi të kufizuar, të referuar nga komisionet bio-psiko-sociale që marrin mbështetje sociale të integruara</c:v>
                </c:pt>
                <c:pt idx="2">
                  <c:v>Përqindja e rasteve të referuara nga mekanizmi i koordinuar i referimit (mkr) që përfitojnë shërbime sociale</c:v>
                </c:pt>
              </c:strCache>
            </c:strRef>
          </c:cat>
          <c:val>
            <c:numRef>
              <c:f>Viz!$B$12:$B$14</c:f>
              <c:numCache>
                <c:formatCode>0.00</c:formatCode>
                <c:ptCount val="3"/>
                <c:pt idx="0">
                  <c:v>98.808510638297875</c:v>
                </c:pt>
                <c:pt idx="1">
                  <c:v>14.3646408839779</c:v>
                </c:pt>
                <c:pt idx="2">
                  <c:v>100</c:v>
                </c:pt>
              </c:numCache>
            </c:numRef>
          </c:val>
          <c:extLst xmlns:c16r2="http://schemas.microsoft.com/office/drawing/2015/06/chart">
            <c:ext xmlns:c16="http://schemas.microsoft.com/office/drawing/2014/chart" uri="{C3380CC4-5D6E-409C-BE32-E72D297353CC}">
              <c16:uniqueId val="{00000000-6F7C-2545-AEB6-368E3020A9CD}"/>
            </c:ext>
          </c:extLst>
        </c:ser>
        <c:ser>
          <c:idx val="1"/>
          <c:order val="1"/>
          <c:tx>
            <c:strRef>
              <c:f>Viz!$C$11</c:f>
              <c:strCache>
                <c:ptCount val="1"/>
                <c:pt idx="0">
                  <c:v> Vlera 2024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Viz!$A$12:$A$14</c:f>
              <c:strCache>
                <c:ptCount val="3"/>
                <c:pt idx="0">
                  <c:v>Përqindja e familjeve që marrin ndihmë ekonomike</c:v>
                </c:pt>
                <c:pt idx="1">
                  <c:v>Përqindja e personave me aftësi të kufizuar, të referuar nga komisionet bio-psiko-sociale që marrin mbështetje sociale të integruara</c:v>
                </c:pt>
                <c:pt idx="2">
                  <c:v>Përqindja e rasteve të referuara nga mekanizmi i koordinuar i referimit (mkr) që përfitojnë shërbime sociale</c:v>
                </c:pt>
              </c:strCache>
            </c:strRef>
          </c:cat>
          <c:val>
            <c:numRef>
              <c:f>Viz!$C$12:$C$14</c:f>
              <c:numCache>
                <c:formatCode>0.00</c:formatCode>
                <c:ptCount val="3"/>
                <c:pt idx="0">
                  <c:v>98.89705882352942</c:v>
                </c:pt>
                <c:pt idx="1">
                  <c:v>15.932914046121594</c:v>
                </c:pt>
                <c:pt idx="2">
                  <c:v>100</c:v>
                </c:pt>
              </c:numCache>
            </c:numRef>
          </c:val>
          <c:extLst xmlns:c16r2="http://schemas.microsoft.com/office/drawing/2015/06/chart">
            <c:ext xmlns:c16="http://schemas.microsoft.com/office/drawing/2014/chart" uri="{C3380CC4-5D6E-409C-BE32-E72D297353CC}">
              <c16:uniqueId val="{00000001-6F7C-2545-AEB6-368E3020A9CD}"/>
            </c:ext>
          </c:extLst>
        </c:ser>
        <c:dLbls>
          <c:dLblPos val="inEnd"/>
          <c:showLegendKey val="0"/>
          <c:showVal val="1"/>
          <c:showCatName val="0"/>
          <c:showSerName val="0"/>
          <c:showPercent val="0"/>
          <c:showBubbleSize val="0"/>
        </c:dLbls>
        <c:gapWidth val="65"/>
        <c:axId val="338344960"/>
        <c:axId val="338350848"/>
      </c:barChart>
      <c:catAx>
        <c:axId val="338344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8350848"/>
        <c:crosses val="autoZero"/>
        <c:auto val="1"/>
        <c:lblAlgn val="ctr"/>
        <c:lblOffset val="100"/>
        <c:noMultiLvlLbl val="0"/>
      </c:catAx>
      <c:valAx>
        <c:axId val="3383508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383449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[Bashki_PowerQuery_Burimet Njerezore 3_Librazhd.xlsm]Viz!PivotTable2</c:name>
    <c:fmtId val="-1"/>
  </c:pivotSource>
  <c:chart>
    <c:autoTitleDeleted val="0"/>
    <c:pivotFmts>
      <c:pivotFmt>
        <c:idx val="0"/>
        <c:dLbl>
          <c:idx val="0"/>
          <c:delete val="1"/>
          <c:extLst xmlns:c16r2="http://schemas.microsoft.com/office/drawing/2015/06/chart">
            <c:ext xmlns:c15="http://schemas.microsoft.com/office/drawing/2012/chart" uri="{CE6537A1-D6FC-4f65-9D91-7224C49458BB}"/>
          </c:extLst>
        </c:dLbl>
      </c:pivotFmt>
      <c:pivotFmt>
        <c:idx val="1"/>
        <c:dLbl>
          <c:idx val="0"/>
          <c:delete val="1"/>
          <c:extLst xmlns:c16r2="http://schemas.microsoft.com/office/drawing/2015/06/chart">
            <c:ext xmlns:c15="http://schemas.microsoft.com/office/drawing/2012/chart" uri="{CE6537A1-D6FC-4f65-9D91-7224C49458BB}"/>
          </c:extLst>
        </c:dLbl>
      </c:pivotFmt>
      <c:pivotFmt>
        <c:idx val="2"/>
        <c:dLbl>
          <c:idx val="0"/>
          <c:delete val="1"/>
          <c:extLst xmlns:c16r2="http://schemas.microsoft.com/office/drawing/2015/06/chart">
            <c:ext xmlns:c15="http://schemas.microsoft.com/office/drawing/2012/chart" uri="{CE6537A1-D6FC-4f65-9D91-7224C49458BB}"/>
          </c:extLst>
        </c:dLbl>
      </c:pivotFmt>
      <c:pivotFmt>
        <c:idx val="3"/>
        <c:dLbl>
          <c:idx val="0"/>
          <c:delete val="1"/>
          <c:extLst xmlns:c16r2="http://schemas.microsoft.com/office/drawing/2015/06/chart">
            <c:ext xmlns:c15="http://schemas.microsoft.com/office/drawing/2012/chart" uri="{CE6537A1-D6FC-4f65-9D91-7224C49458BB}"/>
          </c:extLst>
        </c:dLbl>
      </c:pivotFmt>
      <c:pivotFmt>
        <c:idx val="4"/>
        <c:dLbl>
          <c:idx val="0"/>
          <c:delete val="1"/>
          <c:extLst xmlns:c16r2="http://schemas.microsoft.com/office/drawing/2015/06/chart">
            <c:ext xmlns:c15="http://schemas.microsoft.com/office/drawing/2012/chart" uri="{CE6537A1-D6FC-4f65-9D91-7224C49458BB}"/>
          </c:extLst>
        </c:dLbl>
      </c:pivotFmt>
      <c:pivotFmt>
        <c:idx val="5"/>
        <c:dLbl>
          <c:idx val="0"/>
          <c:delete val="1"/>
          <c:extLst xmlns:c16r2="http://schemas.microsoft.com/office/drawing/2015/06/chart">
            <c:ext xmlns:c15="http://schemas.microsoft.com/office/drawing/2012/chart" uri="{CE6537A1-D6FC-4f65-9D91-7224C49458BB}"/>
          </c:extLst>
        </c:dLbl>
      </c:pivotFmt>
      <c:pivotFmt>
        <c:idx val="6"/>
        <c:dLbl>
          <c:idx val="0"/>
          <c:delete val="1"/>
          <c:extLst xmlns:c16r2="http://schemas.microsoft.com/office/drawing/2015/06/chart">
            <c:ext xmlns:c15="http://schemas.microsoft.com/office/drawing/2012/chart" uri="{CE6537A1-D6FC-4f65-9D91-7224C49458BB}"/>
          </c:extLst>
        </c:dLbl>
      </c:pivotFmt>
      <c:pivotFmt>
        <c:idx val="7"/>
        <c:dLbl>
          <c:idx val="0"/>
          <c:delete val="1"/>
          <c:extLst xmlns:c16r2="http://schemas.microsoft.com/office/drawing/2015/06/chart">
            <c:ext xmlns:c15="http://schemas.microsoft.com/office/drawing/2012/chart" uri="{CE6537A1-D6FC-4f65-9D91-7224C49458BB}"/>
          </c:extLst>
        </c:dLbl>
      </c:pivotFmt>
      <c:pivotFmt>
        <c:idx val="8"/>
        <c:dLbl>
          <c:idx val="0"/>
          <c:delete val="1"/>
          <c:extLst xmlns:c16r2="http://schemas.microsoft.com/office/drawing/2015/06/chart">
            <c:ext xmlns:c15="http://schemas.microsoft.com/office/drawing/2012/chart" uri="{CE6537A1-D6FC-4f65-9D91-7224C49458BB}"/>
          </c:extLst>
        </c:dLbl>
      </c:pivotFmt>
      <c:pivotFmt>
        <c:idx val="9"/>
        <c:dLbl>
          <c:idx val="0"/>
          <c:delete val="1"/>
          <c:extLst xmlns:c16r2="http://schemas.microsoft.com/office/drawing/2015/06/chart">
            <c:ext xmlns:c15="http://schemas.microsoft.com/office/drawing/2012/chart" uri="{CE6537A1-D6FC-4f65-9D91-7224C49458BB}"/>
          </c:extLst>
        </c:dLbl>
      </c:pivotFmt>
      <c:pivotFmt>
        <c:idx val="10"/>
        <c:dLbl>
          <c:idx val="0"/>
          <c:delete val="1"/>
          <c:extLst xmlns:c16r2="http://schemas.microsoft.com/office/drawing/2015/06/chart">
            <c:ext xmlns:c15="http://schemas.microsoft.com/office/drawing/2012/chart" uri="{CE6537A1-D6FC-4f65-9D91-7224C49458BB}"/>
          </c:extLst>
        </c:dLbl>
      </c:pivotFmt>
      <c:pivotFmt>
        <c:idx val="11"/>
        <c:dLbl>
          <c:idx val="0"/>
          <c:delete val="1"/>
          <c:extLst xmlns:c16r2="http://schemas.microsoft.com/office/drawing/2015/06/chart">
            <c:ext xmlns:c15="http://schemas.microsoft.com/office/drawing/2012/chart" uri="{CE6537A1-D6FC-4f65-9D91-7224C49458BB}"/>
          </c:extLst>
        </c:dLbl>
      </c:pivotFmt>
      <c:pivotFmt>
        <c:idx val="12"/>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2">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Viz!$B$11</c:f>
              <c:strCache>
                <c:ptCount val="1"/>
                <c:pt idx="0">
                  <c:v>Sum of Vlera 2024 (calc)</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Viz!$A$12:$A$13</c:f>
              <c:strCache>
                <c:ptCount val="2"/>
                <c:pt idx="0">
                  <c:v>Përqindja e stafit të punësuar nga bashkia të trajnuar</c:v>
                </c:pt>
                <c:pt idx="1">
                  <c:v>Shkalla e rotacionit të punonjësve të bashkisë</c:v>
                </c:pt>
              </c:strCache>
            </c:strRef>
          </c:cat>
          <c:val>
            <c:numRef>
              <c:f>Viz!$B$12:$B$13</c:f>
              <c:numCache>
                <c:formatCode>0.00</c:formatCode>
                <c:ptCount val="2"/>
                <c:pt idx="0">
                  <c:v>8.8636363636363633</c:v>
                </c:pt>
                <c:pt idx="1">
                  <c:v>8.8636363636363633</c:v>
                </c:pt>
              </c:numCache>
            </c:numRef>
          </c:val>
          <c:extLst xmlns:c16r2="http://schemas.microsoft.com/office/drawing/2015/06/chart">
            <c:ext xmlns:c16="http://schemas.microsoft.com/office/drawing/2014/chart" uri="{C3380CC4-5D6E-409C-BE32-E72D297353CC}">
              <c16:uniqueId val="{00000000-168A-204B-8CBF-3F628BFE49D7}"/>
            </c:ext>
          </c:extLst>
        </c:ser>
        <c:ser>
          <c:idx val="1"/>
          <c:order val="1"/>
          <c:tx>
            <c:strRef>
              <c:f>Viz!$C$11</c:f>
              <c:strCache>
                <c:ptCount val="1"/>
                <c:pt idx="0">
                  <c:v>Sum of Vlera 2023 (calc)</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Viz!$A$12:$A$13</c:f>
              <c:strCache>
                <c:ptCount val="2"/>
                <c:pt idx="0">
                  <c:v>Përqindja e stafit të punësuar nga bashkia të trajnuar</c:v>
                </c:pt>
                <c:pt idx="1">
                  <c:v>Shkalla e rotacionit të punonjësve të bashkisë</c:v>
                </c:pt>
              </c:strCache>
            </c:strRef>
          </c:cat>
          <c:val>
            <c:numRef>
              <c:f>Viz!$C$12:$C$13</c:f>
              <c:numCache>
                <c:formatCode>0.00</c:formatCode>
                <c:ptCount val="2"/>
                <c:pt idx="0">
                  <c:v>7.7669902912621351</c:v>
                </c:pt>
                <c:pt idx="1">
                  <c:v>7.7669902912621351</c:v>
                </c:pt>
              </c:numCache>
            </c:numRef>
          </c:val>
          <c:extLst xmlns:c16r2="http://schemas.microsoft.com/office/drawing/2015/06/chart">
            <c:ext xmlns:c16="http://schemas.microsoft.com/office/drawing/2014/chart" uri="{C3380CC4-5D6E-409C-BE32-E72D297353CC}">
              <c16:uniqueId val="{00000001-168A-204B-8CBF-3F628BFE49D7}"/>
            </c:ext>
          </c:extLst>
        </c:ser>
        <c:dLbls>
          <c:dLblPos val="inEnd"/>
          <c:showLegendKey val="0"/>
          <c:showVal val="1"/>
          <c:showCatName val="0"/>
          <c:showSerName val="0"/>
          <c:showPercent val="0"/>
          <c:showBubbleSize val="0"/>
        </c:dLbls>
        <c:gapWidth val="65"/>
        <c:axId val="338433536"/>
        <c:axId val="338435072"/>
      </c:barChart>
      <c:catAx>
        <c:axId val="338433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8435072"/>
        <c:crosses val="autoZero"/>
        <c:auto val="1"/>
        <c:lblAlgn val="ctr"/>
        <c:lblOffset val="100"/>
        <c:noMultiLvlLbl val="0"/>
      </c:catAx>
      <c:valAx>
        <c:axId val="338435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384335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DE12E-CC6F-41C7-BC60-E5456927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9209</Words>
  <Characters>52492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odeta kromici</dc:creator>
  <cp:lastModifiedBy>ADMIN</cp:lastModifiedBy>
  <cp:revision>2</cp:revision>
  <dcterms:created xsi:type="dcterms:W3CDTF">2025-11-19T09:05:00Z</dcterms:created>
  <dcterms:modified xsi:type="dcterms:W3CDTF">2025-11-19T09:05:00Z</dcterms:modified>
</cp:coreProperties>
</file>